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ED8AD" w14:textId="1DC11273" w:rsidR="0059002F" w:rsidRPr="000E5EB1" w:rsidRDefault="000E5EB1" w:rsidP="000E5EB1">
      <w:pPr>
        <w:suppressAutoHyphens w:val="0"/>
        <w:spacing w:line="276" w:lineRule="auto"/>
        <w:jc w:val="center"/>
        <w:rPr>
          <w:rFonts w:ascii="Verdana" w:hAnsi="Verdana"/>
          <w:b/>
          <w:bCs/>
          <w:iCs/>
          <w:sz w:val="20"/>
        </w:rPr>
      </w:pPr>
      <w:r w:rsidRPr="000E5EB1">
        <w:rPr>
          <w:rFonts w:ascii="Verdana" w:hAnsi="Verdana"/>
          <w:b/>
          <w:bCs/>
          <w:iCs/>
          <w:sz w:val="20"/>
        </w:rPr>
        <w:t>ANEXO II</w:t>
      </w:r>
    </w:p>
    <w:p w14:paraId="118B1960" w14:textId="77777777" w:rsidR="0059002F" w:rsidRPr="000E5EB1" w:rsidRDefault="00000000" w:rsidP="000E5EB1">
      <w:pPr>
        <w:spacing w:line="276" w:lineRule="auto"/>
        <w:jc w:val="center"/>
        <w:rPr>
          <w:rFonts w:ascii="Verdana" w:hAnsi="Verdana"/>
          <w:sz w:val="20"/>
        </w:rPr>
      </w:pPr>
      <w:r w:rsidRPr="000E5EB1">
        <w:rPr>
          <w:rFonts w:ascii="Verdana" w:hAnsi="Verdana" w:cs="Arial"/>
          <w:b/>
          <w:bCs/>
          <w:sz w:val="20"/>
        </w:rPr>
        <w:t xml:space="preserve">TERMO DE REFERÊNCIA </w:t>
      </w:r>
    </w:p>
    <w:p w14:paraId="20593805" w14:textId="77777777" w:rsidR="0059002F" w:rsidRPr="000E5EB1" w:rsidRDefault="0059002F" w:rsidP="000E5EB1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7AED685B" w14:textId="77777777" w:rsidR="0059002F" w:rsidRPr="000E5EB1" w:rsidRDefault="00000000" w:rsidP="000E5EB1">
      <w:pPr>
        <w:spacing w:line="276" w:lineRule="auto"/>
        <w:jc w:val="center"/>
        <w:rPr>
          <w:rFonts w:ascii="Verdana" w:hAnsi="Verdana"/>
          <w:sz w:val="20"/>
        </w:rPr>
      </w:pPr>
      <w:r w:rsidRPr="000E5EB1">
        <w:rPr>
          <w:rFonts w:ascii="Verdana" w:hAnsi="Verdana" w:cs="Arial"/>
          <w:b/>
          <w:bCs/>
          <w:iCs/>
          <w:color w:val="000000"/>
          <w:sz w:val="20"/>
        </w:rPr>
        <w:t xml:space="preserve"> AQUISIÇÃO DE TROFÉUS </w:t>
      </w:r>
    </w:p>
    <w:p w14:paraId="00C95310" w14:textId="77777777" w:rsidR="0059002F" w:rsidRPr="000E5EB1" w:rsidRDefault="0059002F" w:rsidP="000E5EB1">
      <w:pPr>
        <w:spacing w:line="276" w:lineRule="auto"/>
        <w:jc w:val="center"/>
        <w:rPr>
          <w:rFonts w:ascii="Verdana" w:hAnsi="Verdana" w:cs="Arial"/>
          <w:b/>
          <w:sz w:val="20"/>
          <w:u w:val="single"/>
        </w:rPr>
      </w:pPr>
    </w:p>
    <w:p w14:paraId="5B4FA0CC" w14:textId="77777777" w:rsidR="0059002F" w:rsidRPr="000E5EB1" w:rsidRDefault="00000000" w:rsidP="000E5EB1">
      <w:pPr>
        <w:spacing w:line="276" w:lineRule="auto"/>
        <w:jc w:val="center"/>
        <w:rPr>
          <w:rFonts w:ascii="Verdana" w:hAnsi="Verdana"/>
          <w:sz w:val="20"/>
        </w:rPr>
      </w:pPr>
      <w:r w:rsidRPr="000E5EB1">
        <w:rPr>
          <w:rFonts w:ascii="Verdana" w:hAnsi="Verdana"/>
          <w:b/>
          <w:bCs/>
          <w:sz w:val="20"/>
        </w:rPr>
        <w:t>Processo Administrativo nº 001519/2026 de 02 de março de 2026 – Secretaria Municipal de Esportes e Lazer</w:t>
      </w:r>
    </w:p>
    <w:p w14:paraId="18D885E2" w14:textId="77777777" w:rsidR="0059002F" w:rsidRPr="000E5EB1" w:rsidRDefault="0059002F" w:rsidP="000E5EB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4594E56D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b/>
          <w:bCs/>
          <w:sz w:val="20"/>
        </w:rPr>
        <w:t>1. OBJETO</w:t>
      </w:r>
    </w:p>
    <w:p w14:paraId="7C325485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sz w:val="20"/>
        </w:rPr>
        <w:t xml:space="preserve">1.1. Constitui objeto do presente Termo de Referência a aquisição de </w:t>
      </w:r>
      <w:r w:rsidRPr="000E5EB1">
        <w:rPr>
          <w:rFonts w:ascii="Verdana" w:eastAsia="Arial" w:hAnsi="Verdana" w:cs="Arial"/>
          <w:color w:val="000000"/>
          <w:sz w:val="20"/>
        </w:rPr>
        <w:t>troféus, para premiação na Copa Extremo Norte de Motocross que será realizado no Município de  São Gabriel da Palha</w:t>
      </w:r>
      <w:r w:rsidRPr="000E5EB1">
        <w:rPr>
          <w:rFonts w:ascii="Verdana" w:hAnsi="Verdana" w:cs="Arial"/>
          <w:sz w:val="20"/>
        </w:rPr>
        <w:t>, de acordo com os critérios e condições estabelecidas neste termo de referência, etp e seus anexos.</w:t>
      </w:r>
    </w:p>
    <w:p w14:paraId="31E16EEC" w14:textId="77777777" w:rsidR="0059002F" w:rsidRPr="000E5EB1" w:rsidRDefault="0059002F" w:rsidP="000E5EB1">
      <w:pPr>
        <w:spacing w:line="276" w:lineRule="auto"/>
        <w:jc w:val="both"/>
        <w:rPr>
          <w:rFonts w:ascii="Verdana" w:hAnsi="Verdana" w:cs="Arial"/>
          <w:sz w:val="20"/>
        </w:rPr>
      </w:pPr>
    </w:p>
    <w:tbl>
      <w:tblPr>
        <w:tblW w:w="9865" w:type="dxa"/>
        <w:tblInd w:w="-2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30"/>
        <w:gridCol w:w="4199"/>
        <w:gridCol w:w="959"/>
        <w:gridCol w:w="1031"/>
        <w:gridCol w:w="1411"/>
        <w:gridCol w:w="1535"/>
      </w:tblGrid>
      <w:tr w:rsidR="0059002F" w:rsidRPr="000E5EB1" w14:paraId="7B69F128" w14:textId="77777777">
        <w:tc>
          <w:tcPr>
            <w:tcW w:w="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693046" w14:textId="77777777" w:rsidR="0059002F" w:rsidRPr="000E5EB1" w:rsidRDefault="00000000" w:rsidP="000E5EB1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E5EB1">
              <w:rPr>
                <w:rFonts w:ascii="Verdana" w:hAnsi="Verdana"/>
                <w:b/>
                <w:bCs/>
                <w:color w:val="000000"/>
                <w:sz w:val="20"/>
              </w:rPr>
              <w:t>ITEM</w:t>
            </w:r>
          </w:p>
        </w:tc>
        <w:tc>
          <w:tcPr>
            <w:tcW w:w="4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6DAD6B" w14:textId="77777777" w:rsidR="0059002F" w:rsidRPr="000E5EB1" w:rsidRDefault="00000000" w:rsidP="000E5EB1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E5EB1">
              <w:rPr>
                <w:rFonts w:ascii="Verdana" w:hAnsi="Verdana"/>
                <w:b/>
                <w:bCs/>
                <w:color w:val="000000"/>
                <w:sz w:val="20"/>
              </w:rPr>
              <w:t>DESCRIÇÃO</w:t>
            </w:r>
          </w:p>
        </w:tc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2C05B" w14:textId="77777777" w:rsidR="0059002F" w:rsidRPr="000E5EB1" w:rsidRDefault="00000000" w:rsidP="000E5EB1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E5EB1">
              <w:rPr>
                <w:rFonts w:ascii="Verdana" w:hAnsi="Verdana"/>
                <w:b/>
                <w:bCs/>
                <w:color w:val="000000"/>
                <w:sz w:val="20"/>
              </w:rPr>
              <w:t>UND.</w:t>
            </w:r>
          </w:p>
        </w:tc>
        <w:tc>
          <w:tcPr>
            <w:tcW w:w="10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BA3EC5" w14:textId="77777777" w:rsidR="0059002F" w:rsidRPr="000E5EB1" w:rsidRDefault="00000000" w:rsidP="000E5EB1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E5EB1">
              <w:rPr>
                <w:rFonts w:ascii="Verdana" w:hAnsi="Verdana"/>
                <w:b/>
                <w:bCs/>
                <w:color w:val="000000"/>
                <w:sz w:val="20"/>
              </w:rPr>
              <w:t>QUANT.</w:t>
            </w:r>
          </w:p>
        </w:tc>
        <w:tc>
          <w:tcPr>
            <w:tcW w:w="1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06F1FF" w14:textId="77777777" w:rsidR="0059002F" w:rsidRPr="000E5EB1" w:rsidRDefault="00000000" w:rsidP="000E5EB1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E5EB1">
              <w:rPr>
                <w:rFonts w:ascii="Verdana" w:hAnsi="Verdana"/>
                <w:b/>
                <w:bCs/>
                <w:color w:val="000000"/>
                <w:sz w:val="20"/>
              </w:rPr>
              <w:t>VALOR ESTIMADO UNITÁRIO</w:t>
            </w:r>
          </w:p>
        </w:tc>
        <w:tc>
          <w:tcPr>
            <w:tcW w:w="1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E82B9" w14:textId="77777777" w:rsidR="0059002F" w:rsidRPr="000E5EB1" w:rsidRDefault="00000000" w:rsidP="000E5EB1">
            <w:pPr>
              <w:pStyle w:val="Contedodatabelauser"/>
              <w:widowControl w:val="0"/>
              <w:spacing w:line="276" w:lineRule="auto"/>
              <w:jc w:val="center"/>
              <w:rPr>
                <w:rFonts w:ascii="Verdana" w:hAnsi="Verdana"/>
                <w:sz w:val="20"/>
              </w:rPr>
            </w:pPr>
            <w:r w:rsidRPr="000E5EB1">
              <w:rPr>
                <w:rFonts w:ascii="Verdana" w:hAnsi="Verdana"/>
                <w:b/>
                <w:bCs/>
                <w:color w:val="000000"/>
                <w:sz w:val="20"/>
              </w:rPr>
              <w:t>VALOR ESTIMADO TOTAL</w:t>
            </w:r>
          </w:p>
        </w:tc>
      </w:tr>
      <w:tr w:rsidR="0059002F" w:rsidRPr="000E5EB1" w14:paraId="65684853" w14:textId="77777777">
        <w:tc>
          <w:tcPr>
            <w:tcW w:w="730" w:type="dxa"/>
            <w:tcBorders>
              <w:left w:val="single" w:sz="4" w:space="0" w:color="000000"/>
              <w:bottom w:val="single" w:sz="4" w:space="0" w:color="000000"/>
            </w:tcBorders>
          </w:tcPr>
          <w:p w14:paraId="2A5598B3" w14:textId="77777777" w:rsidR="0059002F" w:rsidRPr="000E5EB1" w:rsidRDefault="00000000" w:rsidP="000E5EB1">
            <w:pPr>
              <w:pStyle w:val="Contedodatabelauser"/>
              <w:widowControl w:val="0"/>
              <w:spacing w:line="276" w:lineRule="auto"/>
              <w:rPr>
                <w:rFonts w:ascii="Verdana" w:hAnsi="Verdana"/>
                <w:sz w:val="20"/>
              </w:rPr>
            </w:pPr>
            <w:r w:rsidRPr="000E5EB1">
              <w:rPr>
                <w:rFonts w:ascii="Verdana" w:hAnsi="Verdana"/>
                <w:color w:val="000000"/>
                <w:sz w:val="20"/>
              </w:rPr>
              <w:t>01</w:t>
            </w:r>
          </w:p>
        </w:tc>
        <w:tc>
          <w:tcPr>
            <w:tcW w:w="4199" w:type="dxa"/>
            <w:tcBorders>
              <w:left w:val="single" w:sz="4" w:space="0" w:color="000000"/>
              <w:bottom w:val="single" w:sz="4" w:space="0" w:color="000000"/>
            </w:tcBorders>
          </w:tcPr>
          <w:p w14:paraId="30CFC699" w14:textId="77777777" w:rsidR="0059002F" w:rsidRPr="000E5EB1" w:rsidRDefault="00000000" w:rsidP="000E5EB1">
            <w:pPr>
              <w:widowControl w:val="0"/>
              <w:spacing w:line="276" w:lineRule="auto"/>
              <w:jc w:val="both"/>
              <w:rPr>
                <w:rFonts w:ascii="Verdana" w:hAnsi="Verdana"/>
                <w:sz w:val="20"/>
              </w:rPr>
            </w:pPr>
            <w:r w:rsidRPr="000E5EB1">
              <w:rPr>
                <w:rFonts w:ascii="Verdana" w:hAnsi="Verdana"/>
                <w:color w:val="000000"/>
                <w:sz w:val="20"/>
              </w:rPr>
              <w:t>TROFÉU em mdf com 25 cm de altura, 02 cm de espessura, no ouro envelhecido</w:t>
            </w:r>
          </w:p>
        </w:tc>
        <w:tc>
          <w:tcPr>
            <w:tcW w:w="959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E029E92" w14:textId="77777777" w:rsidR="0059002F" w:rsidRPr="000E5EB1" w:rsidRDefault="00000000" w:rsidP="000E5EB1">
            <w:pPr>
              <w:pStyle w:val="TableParagraph"/>
              <w:spacing w:before="183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0E5EB1">
              <w:rPr>
                <w:rFonts w:ascii="Verdana" w:hAnsi="Verdana"/>
                <w:color w:val="000000"/>
                <w:spacing w:val="-5"/>
                <w:sz w:val="20"/>
                <w:szCs w:val="20"/>
              </w:rPr>
              <w:t>Un</w:t>
            </w:r>
          </w:p>
        </w:tc>
        <w:tc>
          <w:tcPr>
            <w:tcW w:w="103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58A095A" w14:textId="77777777" w:rsidR="0059002F" w:rsidRPr="000E5EB1" w:rsidRDefault="00000000" w:rsidP="000E5EB1">
            <w:pPr>
              <w:pStyle w:val="TableParagraph"/>
              <w:spacing w:before="183" w:line="276" w:lineRule="auto"/>
              <w:ind w:left="171"/>
              <w:jc w:val="center"/>
              <w:rPr>
                <w:rFonts w:ascii="Verdana" w:hAnsi="Verdana"/>
                <w:sz w:val="20"/>
                <w:szCs w:val="20"/>
              </w:rPr>
            </w:pPr>
            <w:r w:rsidRPr="000E5EB1">
              <w:rPr>
                <w:rFonts w:ascii="Verdana" w:hAnsi="Verdana"/>
                <w:color w:val="000000"/>
                <w:spacing w:val="-2"/>
                <w:sz w:val="20"/>
                <w:szCs w:val="20"/>
              </w:rPr>
              <w:t>100</w:t>
            </w:r>
          </w:p>
        </w:tc>
        <w:tc>
          <w:tcPr>
            <w:tcW w:w="141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B959206" w14:textId="77777777" w:rsidR="0059002F" w:rsidRPr="000E5EB1" w:rsidRDefault="00000000" w:rsidP="000E5EB1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0E5EB1">
              <w:rPr>
                <w:rFonts w:ascii="Verdana" w:hAnsi="Verdana"/>
                <w:sz w:val="20"/>
                <w:szCs w:val="20"/>
              </w:rPr>
              <w:t>R$ 35,00</w:t>
            </w:r>
          </w:p>
        </w:tc>
        <w:tc>
          <w:tcPr>
            <w:tcW w:w="1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F98DF" w14:textId="77777777" w:rsidR="0059002F" w:rsidRPr="000E5EB1" w:rsidRDefault="00000000" w:rsidP="000E5EB1">
            <w:pPr>
              <w:pStyle w:val="TableParagraph"/>
              <w:spacing w:before="183" w:line="276" w:lineRule="auto"/>
              <w:ind w:right="36"/>
              <w:rPr>
                <w:rFonts w:ascii="Verdana" w:hAnsi="Verdana"/>
                <w:sz w:val="20"/>
                <w:szCs w:val="20"/>
              </w:rPr>
            </w:pPr>
            <w:r w:rsidRPr="000E5EB1">
              <w:rPr>
                <w:rFonts w:ascii="Verdana" w:hAnsi="Verdana"/>
                <w:sz w:val="20"/>
                <w:szCs w:val="20"/>
              </w:rPr>
              <w:t>R$ 3.500,00</w:t>
            </w:r>
          </w:p>
        </w:tc>
      </w:tr>
      <w:tr w:rsidR="0059002F" w:rsidRPr="000E5EB1" w14:paraId="46B03502" w14:textId="77777777">
        <w:tc>
          <w:tcPr>
            <w:tcW w:w="9865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85DB9" w14:textId="7CEF1C85" w:rsidR="0059002F" w:rsidRPr="000E5EB1" w:rsidRDefault="00000000" w:rsidP="000E5EB1">
            <w:pPr>
              <w:pStyle w:val="TableParagraph"/>
              <w:spacing w:before="46" w:line="276" w:lineRule="auto"/>
              <w:ind w:left="2" w:right="33"/>
              <w:jc w:val="center"/>
              <w:rPr>
                <w:rFonts w:ascii="Verdana" w:hAnsi="Verdana"/>
                <w:sz w:val="20"/>
                <w:szCs w:val="20"/>
              </w:rPr>
            </w:pPr>
            <w:r w:rsidRPr="000E5EB1">
              <w:rPr>
                <w:rFonts w:ascii="Verdana" w:hAnsi="Verdana"/>
                <w:sz w:val="20"/>
                <w:szCs w:val="20"/>
              </w:rPr>
              <w:t>VALOR ESTIMADO TOTAL: R$ 3.500,00 (três mil e quinhentos reais)</w:t>
            </w:r>
          </w:p>
        </w:tc>
      </w:tr>
    </w:tbl>
    <w:p w14:paraId="70EE6D68" w14:textId="77777777" w:rsidR="0059002F" w:rsidRPr="000E5EB1" w:rsidRDefault="0059002F" w:rsidP="000E5EB1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</w:p>
    <w:p w14:paraId="05E82D44" w14:textId="77777777" w:rsidR="0059002F" w:rsidRPr="000E5EB1" w:rsidRDefault="00000000" w:rsidP="000E5EB1">
      <w:pPr>
        <w:pStyle w:val="PargrafodaLista"/>
        <w:suppressAutoHyphens w:val="0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/>
          <w:iCs/>
          <w:sz w:val="20"/>
          <w:szCs w:val="20"/>
        </w:rPr>
        <w:t>1.2</w:t>
      </w:r>
      <w:r w:rsidRPr="000E5EB1">
        <w:rPr>
          <w:rFonts w:ascii="Verdana" w:hAnsi="Verdana"/>
          <w:b/>
          <w:bCs/>
          <w:iCs/>
          <w:sz w:val="20"/>
          <w:szCs w:val="20"/>
        </w:rPr>
        <w:t>.</w:t>
      </w:r>
      <w:r w:rsidRPr="000E5EB1">
        <w:rPr>
          <w:rFonts w:ascii="Verdana" w:hAnsi="Verdana"/>
          <w:iCs/>
          <w:sz w:val="20"/>
          <w:szCs w:val="20"/>
        </w:rPr>
        <w:t xml:space="preserve"> Os objetos desta aquisição não se enquadram como sendo de bens de luxo, conforme Decreto nº 10.818, de 2021.</w:t>
      </w:r>
    </w:p>
    <w:p w14:paraId="371D2E32" w14:textId="77777777" w:rsidR="0059002F" w:rsidRPr="000E5EB1" w:rsidRDefault="00000000" w:rsidP="000E5EB1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/>
          <w:iCs/>
          <w:sz w:val="20"/>
          <w:szCs w:val="20"/>
        </w:rPr>
        <w:t xml:space="preserve">1.3. </w:t>
      </w:r>
      <w:r w:rsidRPr="000E5EB1">
        <w:rPr>
          <w:rFonts w:ascii="Verdana" w:hAnsi="Verdana"/>
          <w:sz w:val="20"/>
          <w:szCs w:val="20"/>
        </w:rPr>
        <w:t>O prazo de vigência da aquisição será de 30 (trinta) dias, com a entrega em até 15 (quinze) dias após a confirmação de recebimento da autorização de fornecimento emitida pelo Departamento de Compras e Contratos.</w:t>
      </w:r>
    </w:p>
    <w:p w14:paraId="7581F93F" w14:textId="77777777" w:rsidR="0059002F" w:rsidRPr="000E5EB1" w:rsidRDefault="00000000" w:rsidP="000E5EB1">
      <w:pPr>
        <w:pStyle w:val="PargrafodaLista"/>
        <w:suppressAutoHyphens w:val="0"/>
        <w:ind w:left="-22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eastAsia="SimSun" w:hAnsi="Verdana" w:cs="Arial"/>
          <w:sz w:val="20"/>
          <w:szCs w:val="20"/>
        </w:rPr>
        <w:t xml:space="preserve">1.4. O custo estimado total da contratação é de R$ </w:t>
      </w:r>
      <w:r w:rsidRPr="000E5EB1">
        <w:rPr>
          <w:rFonts w:ascii="Verdana" w:eastAsia="SimSun" w:hAnsi="Verdana" w:cs="Arial"/>
          <w:spacing w:val="-5"/>
          <w:sz w:val="20"/>
          <w:szCs w:val="20"/>
        </w:rPr>
        <w:t>3.500,00 (três mil e quinhentos reais)</w:t>
      </w:r>
      <w:r w:rsidRPr="000E5EB1">
        <w:rPr>
          <w:rFonts w:ascii="Verdana" w:eastAsia="SimSun" w:hAnsi="Verdana" w:cs="Arial"/>
          <w:sz w:val="20"/>
          <w:szCs w:val="20"/>
        </w:rPr>
        <w:t>conforme custos unitários apostos nos orçamentos e no quadro comparativo de preços simples em anexo, aquisição por dispensa de licitação, menor valor.</w:t>
      </w:r>
    </w:p>
    <w:p w14:paraId="7E018531" w14:textId="77777777" w:rsidR="0059002F" w:rsidRPr="000E5EB1" w:rsidRDefault="00000000" w:rsidP="000E5EB1">
      <w:pPr>
        <w:spacing w:line="276" w:lineRule="auto"/>
        <w:rPr>
          <w:rFonts w:ascii="Verdana" w:hAnsi="Verdana"/>
          <w:sz w:val="20"/>
        </w:rPr>
      </w:pPr>
      <w:r w:rsidRPr="000E5EB1">
        <w:rPr>
          <w:rFonts w:ascii="Verdana" w:hAnsi="Verdana"/>
          <w:b/>
          <w:bCs/>
          <w:sz w:val="20"/>
        </w:rPr>
        <w:t>2. FUNDAMENTAÇÃO E DESCRIÇÃO DA NECESSIDADE DA CONTRATAÇÃO</w:t>
      </w:r>
    </w:p>
    <w:p w14:paraId="1B5F930D" w14:textId="77777777" w:rsidR="0059002F" w:rsidRPr="000E5EB1" w:rsidRDefault="00000000" w:rsidP="000E5EB1">
      <w:pPr>
        <w:pStyle w:val="Corpodetexto"/>
        <w:spacing w:after="0"/>
        <w:contextualSpacing/>
        <w:jc w:val="both"/>
        <w:rPr>
          <w:rFonts w:ascii="Verdana" w:hAnsi="Verdana"/>
          <w:sz w:val="20"/>
        </w:rPr>
      </w:pPr>
      <w:r w:rsidRPr="000E5EB1">
        <w:rPr>
          <w:rFonts w:ascii="Verdana" w:eastAsia="Arial" w:hAnsi="Verdana" w:cs="Arial"/>
          <w:color w:val="000000"/>
          <w:sz w:val="20"/>
        </w:rPr>
        <w:t xml:space="preserve">2.1. Aquisição de troféus destinados à premiação da </w:t>
      </w:r>
      <w:r w:rsidRPr="000E5EB1">
        <w:rPr>
          <w:rStyle w:val="Forte"/>
          <w:rFonts w:ascii="Verdana" w:eastAsia="Arial" w:hAnsi="Verdana" w:cs="Arial"/>
          <w:b w:val="0"/>
          <w:bCs w:val="0"/>
          <w:color w:val="000000"/>
          <w:sz w:val="20"/>
        </w:rPr>
        <w:t>Copa Extremo Norte de Motocross</w:t>
      </w:r>
      <w:r w:rsidRPr="000E5EB1">
        <w:rPr>
          <w:rFonts w:ascii="Verdana" w:eastAsia="Arial" w:hAnsi="Verdana" w:cs="Arial"/>
          <w:color w:val="000000"/>
          <w:sz w:val="20"/>
        </w:rPr>
        <w:t>, evento esportivo que será realizado no Município de São Gabriel da Palha.</w:t>
      </w:r>
    </w:p>
    <w:p w14:paraId="3C992314" w14:textId="77777777" w:rsidR="0059002F" w:rsidRPr="000E5EB1" w:rsidRDefault="00000000" w:rsidP="000E5EB1">
      <w:pPr>
        <w:pStyle w:val="Corpodetexto"/>
        <w:spacing w:after="0"/>
        <w:jc w:val="both"/>
        <w:rPr>
          <w:rFonts w:ascii="Verdana" w:hAnsi="Verdana"/>
          <w:sz w:val="20"/>
        </w:rPr>
      </w:pPr>
      <w:r w:rsidRPr="000E5EB1">
        <w:rPr>
          <w:rFonts w:ascii="Verdana" w:eastAsia="Arial" w:hAnsi="Verdana" w:cs="Arial"/>
          <w:color w:val="000000"/>
          <w:sz w:val="20"/>
        </w:rPr>
        <w:t>2.2. O evento visa fomentar a prática esportiva do motocross, promover o incentivo ao esporte de competição, fortalecer o calendário esportivo municipal e estimular a integração social entre atletas e comunidade.</w:t>
      </w:r>
    </w:p>
    <w:p w14:paraId="59E3896F" w14:textId="77777777" w:rsidR="0059002F" w:rsidRPr="000E5EB1" w:rsidRDefault="00000000" w:rsidP="000E5EB1">
      <w:pPr>
        <w:pStyle w:val="Corpodetexto"/>
        <w:spacing w:after="26"/>
        <w:jc w:val="both"/>
        <w:rPr>
          <w:rFonts w:ascii="Verdana" w:hAnsi="Verdana"/>
          <w:sz w:val="20"/>
        </w:rPr>
      </w:pPr>
      <w:r w:rsidRPr="000E5EB1">
        <w:rPr>
          <w:rFonts w:ascii="Verdana" w:eastAsia="Arial" w:hAnsi="Verdana" w:cs="Arial"/>
          <w:color w:val="000000"/>
          <w:sz w:val="20"/>
        </w:rPr>
        <w:t>2.3. A premiação por meio de troféus representa elemento simbólico de reconhecimento do desempenho esportivo dos participantes, incentivando o comprometimento, a disciplina e a valorização do esporte no âmbito municipal e regional.</w:t>
      </w:r>
    </w:p>
    <w:p w14:paraId="091C58FE" w14:textId="77777777" w:rsidR="0059002F" w:rsidRPr="000E5EB1" w:rsidRDefault="00000000" w:rsidP="000E5EB1">
      <w:pPr>
        <w:pStyle w:val="Corpodetexto"/>
        <w:spacing w:after="83"/>
        <w:jc w:val="both"/>
        <w:rPr>
          <w:rFonts w:ascii="Verdana" w:eastAsia="Arial" w:hAnsi="Verdana" w:cs="Arial"/>
          <w:color w:val="000000"/>
          <w:sz w:val="20"/>
        </w:rPr>
      </w:pPr>
      <w:r w:rsidRPr="000E5EB1">
        <w:rPr>
          <w:rFonts w:ascii="Verdana" w:eastAsia="Arial" w:hAnsi="Verdana" w:cs="Arial"/>
          <w:color w:val="000000"/>
          <w:sz w:val="20"/>
        </w:rPr>
        <w:t>2.4. A contratação pretendida encontra respaldo no planejamento estratégico da Secretaria Municipal de Esporte e Lazer, estando devidamente prevista na programação orçamentária vigente.</w:t>
      </w:r>
    </w:p>
    <w:p w14:paraId="5E60E037" w14:textId="77777777" w:rsidR="000E5EB1" w:rsidRDefault="000E5EB1" w:rsidP="000E5EB1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44ED4215" w14:textId="7C2624DB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b/>
          <w:bCs/>
          <w:sz w:val="20"/>
        </w:rPr>
        <w:t>3. DESCRIÇÃO DA SOLUÇÃO COMO UM TODO CONSIDERANDO O CICLO DE VIDA DO OBJETO</w:t>
      </w:r>
    </w:p>
    <w:p w14:paraId="5D0CF1E6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lastRenderedPageBreak/>
        <w:t>3.1 A solução a ser adotada consiste na aquisição de materiais descritos anteriormente, para atender às necessidades desta Municipalidade, conforme demandas já explicitadas no item n.5, deste ETP.</w:t>
      </w:r>
    </w:p>
    <w:p w14:paraId="54A8EF54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>3.2 A contratação para aquisição deverá obedecer, no que couber, ao disposto na Lei n.° 14.133/2021 e suas alterações.</w:t>
      </w:r>
    </w:p>
    <w:p w14:paraId="6FF23D22" w14:textId="77777777" w:rsidR="0059002F" w:rsidRPr="000E5EB1" w:rsidRDefault="0059002F" w:rsidP="000E5EB1">
      <w:pPr>
        <w:spacing w:line="276" w:lineRule="auto"/>
        <w:jc w:val="both"/>
        <w:rPr>
          <w:rFonts w:ascii="Verdana" w:hAnsi="Verdana"/>
          <w:sz w:val="20"/>
        </w:rPr>
      </w:pPr>
    </w:p>
    <w:p w14:paraId="3B203677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b/>
          <w:bCs/>
          <w:sz w:val="20"/>
        </w:rPr>
        <w:t>4. REQUISITOS DA CONTRATAÇÃO</w:t>
      </w:r>
    </w:p>
    <w:p w14:paraId="5DD64979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eastAsia="Arial" w:hAnsi="Verdana" w:cs="Arial"/>
          <w:color w:val="000000"/>
          <w:sz w:val="20"/>
        </w:rPr>
        <w:t>4.1 Os requisitos para aquisição devem contemplar as exigências que a solução contratada deverá atender, incluindo os requisitos mínimos de qualidade, de modo a possibilitar a seleção da proposta mais vantajosa mediante competição.</w:t>
      </w:r>
    </w:p>
    <w:p w14:paraId="248F66CC" w14:textId="77777777" w:rsidR="000E5EB1" w:rsidRDefault="000E5EB1" w:rsidP="000E5EB1">
      <w:pPr>
        <w:spacing w:line="276" w:lineRule="auto"/>
        <w:jc w:val="both"/>
        <w:rPr>
          <w:rFonts w:ascii="Verdana" w:hAnsi="Verdana"/>
          <w:b/>
          <w:bCs/>
          <w:sz w:val="20"/>
        </w:rPr>
      </w:pPr>
    </w:p>
    <w:p w14:paraId="00CD836C" w14:textId="5F824B4B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b/>
          <w:bCs/>
          <w:sz w:val="20"/>
        </w:rPr>
        <w:t>5. MODELO DE EXECUÇÃO CONTRATUAL</w:t>
      </w:r>
    </w:p>
    <w:p w14:paraId="67377F41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sz w:val="20"/>
        </w:rPr>
        <w:t xml:space="preserve">5.1. A </w:t>
      </w:r>
      <w:r w:rsidRPr="000E5EB1">
        <w:rPr>
          <w:rFonts w:ascii="Verdana" w:eastAsia="Arial" w:hAnsi="Verdana" w:cs="Arial"/>
          <w:iCs/>
          <w:sz w:val="20"/>
        </w:rPr>
        <w:t>entrega será de até  15 (quinze) dias após a confirmação de recebimento da autorização de fornecimento emitida pelo Departamento de Compras e Contratos.</w:t>
      </w:r>
    </w:p>
    <w:p w14:paraId="14AD9FC5" w14:textId="77777777" w:rsidR="000E5EB1" w:rsidRDefault="000E5EB1" w:rsidP="000E5EB1">
      <w:pPr>
        <w:spacing w:line="276" w:lineRule="auto"/>
        <w:jc w:val="both"/>
        <w:rPr>
          <w:rFonts w:ascii="Verdana" w:hAnsi="Verdana" w:cs="Arial"/>
          <w:sz w:val="20"/>
        </w:rPr>
      </w:pPr>
    </w:p>
    <w:p w14:paraId="5719C338" w14:textId="2C675ED3" w:rsidR="0059002F" w:rsidRPr="000E5EB1" w:rsidRDefault="00000000" w:rsidP="000E5EB1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0E5EB1">
        <w:rPr>
          <w:rFonts w:ascii="Verdana" w:hAnsi="Verdana" w:cs="Arial"/>
          <w:b/>
          <w:bCs/>
          <w:sz w:val="20"/>
        </w:rPr>
        <w:t xml:space="preserve">5.2. LOCAL </w:t>
      </w:r>
      <w:r w:rsidRPr="000E5EB1">
        <w:rPr>
          <w:rFonts w:ascii="Verdana" w:hAnsi="Verdana" w:cs="Arial"/>
          <w:b/>
          <w:bCs/>
          <w:sz w:val="20"/>
          <w:lang w:eastAsia="zh-CN"/>
        </w:rPr>
        <w:t>DA ENTREGA</w:t>
      </w:r>
    </w:p>
    <w:p w14:paraId="12632226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  <w:lang w:eastAsia="zh-CN"/>
        </w:rPr>
        <w:t>- Sede da Secretaria Municipal de Esportes e Lazer, situada na Rua Antônio Borgo, S/N°, Sede do Ginásio de Esportes "Anastácio Cassaro"- São Gabriel da Palha, CEP - 29780-000. de Segunda-feira a quinta-feira, de 12h às 18h, sexta-feira, de 07h às 13h.</w:t>
      </w:r>
    </w:p>
    <w:p w14:paraId="48D80BF2" w14:textId="77777777" w:rsidR="000E5EB1" w:rsidRDefault="000E5EB1" w:rsidP="000E5EB1">
      <w:pPr>
        <w:spacing w:line="276" w:lineRule="auto"/>
        <w:jc w:val="both"/>
        <w:rPr>
          <w:rFonts w:ascii="Verdana" w:hAnsi="Verdana" w:cs="Arial"/>
          <w:sz w:val="20"/>
        </w:rPr>
      </w:pPr>
    </w:p>
    <w:p w14:paraId="0021C760" w14:textId="63D6F73F" w:rsidR="0059002F" w:rsidRPr="000E5EB1" w:rsidRDefault="00000000" w:rsidP="000E5EB1">
      <w:pPr>
        <w:spacing w:line="276" w:lineRule="auto"/>
        <w:jc w:val="both"/>
        <w:rPr>
          <w:rFonts w:ascii="Verdana" w:hAnsi="Verdana"/>
          <w:b/>
          <w:bCs/>
          <w:sz w:val="20"/>
        </w:rPr>
      </w:pPr>
      <w:r w:rsidRPr="000E5EB1">
        <w:rPr>
          <w:rFonts w:ascii="Verdana" w:hAnsi="Verdana" w:cs="Arial"/>
          <w:b/>
          <w:bCs/>
          <w:sz w:val="20"/>
        </w:rPr>
        <w:t>5.3. CONTATO</w:t>
      </w:r>
    </w:p>
    <w:p w14:paraId="2AEA70DD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>Tel: 27 9 9726 1939</w:t>
      </w:r>
    </w:p>
    <w:p w14:paraId="7EF89098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>Email: esportesgp@hotmail.com</w:t>
      </w:r>
    </w:p>
    <w:p w14:paraId="20D01C4B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 xml:space="preserve">Responsável: Secretaria Municipal de Esportes e Lazer </w:t>
      </w:r>
    </w:p>
    <w:p w14:paraId="6ADA337F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sz w:val="20"/>
          <w:lang w:eastAsia="zh-CN"/>
        </w:rPr>
        <w:t xml:space="preserve">Responsável: </w:t>
      </w:r>
      <w:bookmarkStart w:id="0" w:name="__DdeLink__223_3852470558"/>
      <w:r w:rsidRPr="000E5EB1">
        <w:rPr>
          <w:rFonts w:ascii="Verdana" w:hAnsi="Verdana" w:cs="Arial"/>
          <w:sz w:val="20"/>
          <w:lang w:eastAsia="zh-CN"/>
        </w:rPr>
        <w:t>Secretaria Municipal de Serviços Urbanos e Transporte</w:t>
      </w:r>
      <w:bookmarkEnd w:id="0"/>
    </w:p>
    <w:p w14:paraId="4FF68F90" w14:textId="77777777" w:rsidR="0059002F" w:rsidRPr="000E5EB1" w:rsidRDefault="00000000" w:rsidP="000E5EB1">
      <w:pPr>
        <w:tabs>
          <w:tab w:val="left" w:pos="508"/>
        </w:tabs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sz w:val="20"/>
        </w:rPr>
        <w:t>5.4</w:t>
      </w:r>
      <w:r w:rsidRPr="000E5EB1">
        <w:rPr>
          <w:rFonts w:ascii="Verdana" w:hAnsi="Verdana"/>
          <w:b/>
          <w:bCs/>
          <w:iCs/>
          <w:sz w:val="20"/>
        </w:rPr>
        <w:t xml:space="preserve">. </w:t>
      </w:r>
      <w:r w:rsidRPr="000E5EB1">
        <w:rPr>
          <w:rFonts w:ascii="Verdana" w:hAnsi="Verdana"/>
          <w:bCs/>
          <w:iCs/>
          <w:sz w:val="20"/>
        </w:rPr>
        <w:t xml:space="preserve">Caso não seja possível a entrega na data assinalada, a empresa deverá comunicar as razões respectivas com pelo menos 03 (três) dias de antecedência para que qualquer pleito de prorrogação de prazo seja analisado, ressalvadas situações de caso fortuito e </w:t>
      </w:r>
      <w:r w:rsidRPr="000E5EB1">
        <w:rPr>
          <w:rFonts w:ascii="Verdana" w:hAnsi="Verdana"/>
          <w:iCs/>
          <w:sz w:val="20"/>
        </w:rPr>
        <w:t>força</w:t>
      </w:r>
      <w:r w:rsidRPr="000E5EB1">
        <w:rPr>
          <w:rFonts w:ascii="Verdana" w:hAnsi="Verdana"/>
          <w:bCs/>
          <w:iCs/>
          <w:sz w:val="20"/>
        </w:rPr>
        <w:t xml:space="preserve"> maior.</w:t>
      </w:r>
    </w:p>
    <w:p w14:paraId="40EE6E0A" w14:textId="77777777" w:rsidR="0059002F" w:rsidRPr="000E5EB1" w:rsidRDefault="00000000" w:rsidP="000E5EB1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Times New Roman"/>
          <w:color w:val="auto"/>
          <w:sz w:val="20"/>
          <w:szCs w:val="20"/>
        </w:rPr>
        <w:t>5.5.</w:t>
      </w:r>
      <w:r w:rsidRPr="000E5EB1">
        <w:rPr>
          <w:rFonts w:ascii="Verdana" w:hAnsi="Verdana" w:cs="Times New Roman"/>
          <w:bCs/>
          <w:color w:val="auto"/>
          <w:sz w:val="20"/>
          <w:szCs w:val="20"/>
        </w:rPr>
        <w:t xml:space="preserve"> A entrega será acompanhado e fiscalizado por funcionário da secretaria requisitante, para efeito de posterior verificação de sua conformidade com as especificações constantes neste Termo de Referência e na proposta.</w:t>
      </w:r>
    </w:p>
    <w:p w14:paraId="16005099" w14:textId="77777777" w:rsidR="0059002F" w:rsidRPr="000E5EB1" w:rsidRDefault="00000000" w:rsidP="000E5EB1">
      <w:pPr>
        <w:pStyle w:val="Nivel2"/>
        <w:spacing w:before="0" w:after="0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Times New Roman"/>
          <w:color w:val="auto"/>
          <w:sz w:val="20"/>
          <w:szCs w:val="20"/>
        </w:rPr>
        <w:t>5.6.</w:t>
      </w:r>
      <w:r w:rsidRPr="000E5EB1">
        <w:rPr>
          <w:rFonts w:ascii="Verdana" w:hAnsi="Verdana" w:cs="Times New Roman"/>
          <w:bCs/>
          <w:color w:val="auto"/>
          <w:sz w:val="20"/>
          <w:szCs w:val="20"/>
        </w:rPr>
        <w:t xml:space="preserve"> Os objetos poderão ser rejeitados, no todo ou em parte, quando em desacordo com as especificações constantes no ETP, neste Termo de Referência, no Contrato e na respectiva Autorização de Fornecimento, devendo ser substituído/executado imediatamente, no momento da constatação pelo demandante,  às suas custas.</w:t>
      </w:r>
    </w:p>
    <w:p w14:paraId="2520C4B1" w14:textId="77777777" w:rsidR="0059002F" w:rsidRPr="000E5EB1" w:rsidRDefault="00000000" w:rsidP="000E5EB1">
      <w:pPr>
        <w:pStyle w:val="PargrafodaLista"/>
        <w:spacing w:after="0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/>
          <w:sz w:val="20"/>
          <w:szCs w:val="20"/>
        </w:rPr>
        <w:t>5.7.</w:t>
      </w:r>
      <w:r w:rsidRPr="000E5EB1">
        <w:rPr>
          <w:rFonts w:ascii="Verdana" w:hAnsi="Verdana"/>
          <w:b/>
          <w:bCs/>
          <w:sz w:val="20"/>
          <w:szCs w:val="20"/>
        </w:rPr>
        <w:t xml:space="preserve"> </w:t>
      </w:r>
      <w:r w:rsidRPr="000E5EB1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0E5EB1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75267C3C" w14:textId="77777777" w:rsidR="0059002F" w:rsidRPr="000E5EB1" w:rsidRDefault="00000000" w:rsidP="000E5EB1">
      <w:pPr>
        <w:pStyle w:val="Nivel2"/>
        <w:tabs>
          <w:tab w:val="left" w:pos="508"/>
        </w:tabs>
        <w:spacing w:before="0" w:after="0"/>
        <w:rPr>
          <w:rFonts w:ascii="Verdana" w:hAnsi="Verdana"/>
          <w:sz w:val="20"/>
          <w:szCs w:val="20"/>
        </w:rPr>
      </w:pPr>
      <w:r w:rsidRPr="000E5EB1">
        <w:rPr>
          <w:rFonts w:ascii="Verdana" w:eastAsia="Times New Roman" w:hAnsi="Verdana" w:cs="Times New Roman"/>
          <w:iCs/>
          <w:color w:val="auto"/>
          <w:sz w:val="20"/>
          <w:szCs w:val="20"/>
          <w:lang w:eastAsia="pt-BR"/>
        </w:rPr>
        <w:t>5.8. No caso de recusa da entrega pelo fornecedor, a Administração Pública adotará as providências cabíveis, de cordo com a legislação aplicável, visando sanar problemas por ventura ocorridos.</w:t>
      </w:r>
    </w:p>
    <w:p w14:paraId="60790401" w14:textId="77777777" w:rsidR="0059002F" w:rsidRPr="000E5EB1" w:rsidRDefault="0059002F" w:rsidP="000E5EB1">
      <w:pPr>
        <w:pStyle w:val="Nivel2"/>
        <w:tabs>
          <w:tab w:val="left" w:pos="508"/>
        </w:tabs>
        <w:spacing w:before="0" w:after="0"/>
        <w:rPr>
          <w:rFonts w:ascii="Verdana" w:hAnsi="Verdana"/>
          <w:b/>
          <w:sz w:val="20"/>
          <w:szCs w:val="20"/>
          <w:u w:val="single"/>
        </w:rPr>
      </w:pPr>
    </w:p>
    <w:p w14:paraId="1D9B7E18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b/>
          <w:bCs/>
          <w:sz w:val="20"/>
        </w:rPr>
        <w:t>6.</w:t>
      </w:r>
      <w:r w:rsidRPr="000E5EB1">
        <w:rPr>
          <w:rFonts w:ascii="Verdana" w:hAnsi="Verdana" w:cs="Arial"/>
          <w:b/>
          <w:bCs/>
          <w:sz w:val="20"/>
        </w:rPr>
        <w:t xml:space="preserve"> DEFINIÇÃO E JUSTIFICATIVA DE CARACTERIZAÇÃO DO OBJETO E PRAZOS DA CONTRATAÇÃO</w:t>
      </w:r>
    </w:p>
    <w:p w14:paraId="71412F7D" w14:textId="77777777" w:rsidR="0059002F" w:rsidRPr="000E5EB1" w:rsidRDefault="00000000" w:rsidP="000E5EB1">
      <w:pPr>
        <w:pStyle w:val="Corpodetexto"/>
        <w:spacing w:after="0"/>
        <w:jc w:val="both"/>
        <w:rPr>
          <w:rFonts w:ascii="Verdana" w:hAnsi="Verdana"/>
          <w:sz w:val="20"/>
        </w:rPr>
      </w:pPr>
      <w:r w:rsidRPr="000E5EB1">
        <w:rPr>
          <w:rFonts w:ascii="Verdana" w:eastAsia="Arial" w:hAnsi="Verdana" w:cs="Arial"/>
          <w:color w:val="000000"/>
          <w:sz w:val="20"/>
        </w:rPr>
        <w:t>6.1. O objeto caracteriza-se como aquisição de bens comuns, com especificações usuais no mercado, destinados à premiação esportiva oficial.</w:t>
      </w:r>
    </w:p>
    <w:p w14:paraId="493B6954" w14:textId="77777777" w:rsidR="000E5EB1" w:rsidRDefault="00000000" w:rsidP="000E5EB1">
      <w:pPr>
        <w:pStyle w:val="Corpodetexto"/>
        <w:jc w:val="both"/>
        <w:rPr>
          <w:rFonts w:ascii="Verdana" w:eastAsia="Arial" w:hAnsi="Verdana"/>
          <w:color w:val="000000"/>
          <w:sz w:val="20"/>
          <w:lang w:eastAsia="zh-CN"/>
        </w:rPr>
      </w:pPr>
      <w:r w:rsidRPr="000E5EB1">
        <w:rPr>
          <w:rFonts w:ascii="Verdana" w:eastAsia="Arial" w:hAnsi="Verdana"/>
          <w:bCs/>
          <w:color w:val="000000"/>
          <w:sz w:val="20"/>
          <w:lang w:eastAsia="zh-CN"/>
        </w:rPr>
        <w:t>6.2.</w:t>
      </w:r>
      <w:r w:rsidRPr="000E5EB1">
        <w:rPr>
          <w:rFonts w:ascii="Verdana" w:eastAsia="Arial" w:hAnsi="Verdana"/>
          <w:color w:val="000000"/>
          <w:sz w:val="20"/>
          <w:lang w:eastAsia="zh-CN"/>
        </w:rPr>
        <w:t xml:space="preserve"> A entrega será realizada de forma única, no local e horários indicados no item 2 deste ETP, mediante emissão de Autorização de Fornecimento pelo setor competente e formalização contratual, se necessário.</w:t>
      </w:r>
    </w:p>
    <w:p w14:paraId="6E4D8847" w14:textId="77777777" w:rsidR="000E5EB1" w:rsidRDefault="000E5EB1" w:rsidP="000E5EB1">
      <w:pPr>
        <w:pStyle w:val="Corpodetexto"/>
        <w:jc w:val="both"/>
        <w:rPr>
          <w:rFonts w:ascii="Verdana" w:eastAsia="Arial" w:hAnsi="Verdana"/>
          <w:color w:val="000000"/>
          <w:sz w:val="20"/>
          <w:lang w:eastAsia="zh-CN"/>
        </w:rPr>
      </w:pPr>
    </w:p>
    <w:p w14:paraId="47347B75" w14:textId="07449D27" w:rsidR="0059002F" w:rsidRPr="000E5EB1" w:rsidRDefault="00000000" w:rsidP="000E5EB1">
      <w:pPr>
        <w:pStyle w:val="Corpodetex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b/>
          <w:bCs/>
          <w:sz w:val="20"/>
        </w:rPr>
        <w:lastRenderedPageBreak/>
        <w:t>7. RESPONSABILIDADES DO CONTRATANTE</w:t>
      </w:r>
    </w:p>
    <w:p w14:paraId="437105CE" w14:textId="77777777" w:rsidR="0059002F" w:rsidRPr="000E5EB1" w:rsidRDefault="00000000" w:rsidP="000E5EB1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>7.1. Averiguar a entrega do objeto no prazo e condições estabelecidas neste Termo de Referência e seus anexos.</w:t>
      </w:r>
    </w:p>
    <w:p w14:paraId="61F8828E" w14:textId="77777777" w:rsidR="0059002F" w:rsidRPr="000E5EB1" w:rsidRDefault="00000000" w:rsidP="000E5EB1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>7.2. Verificar minuciosamente, no prazo fixado, a conformidade dos serviços presta provisoriamente com as especificações constantes neste Termo de Referência e da proposta, para fins de aceitação e recebimento definitivo.</w:t>
      </w:r>
    </w:p>
    <w:p w14:paraId="15B56FCF" w14:textId="77777777" w:rsidR="0059002F" w:rsidRPr="000E5EB1" w:rsidRDefault="00000000" w:rsidP="000E5EB1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>7.3. Comunicar à Contratada, por escrito, sobre imperfeições, falhas ou irregularidades verificadas no objeto entregue, para que seja substituído, reparado ou corrigido.</w:t>
      </w:r>
    </w:p>
    <w:p w14:paraId="6C8F1317" w14:textId="77777777" w:rsidR="0059002F" w:rsidRPr="000E5EB1" w:rsidRDefault="00000000" w:rsidP="000E5EB1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>7.4. Acompanhar e fiscalizar o cumprimento das obrigações da Contratada, através de comissão/servidor especialmente designado.</w:t>
      </w:r>
    </w:p>
    <w:p w14:paraId="47DC50B7" w14:textId="77777777" w:rsidR="0059002F" w:rsidRPr="000E5EB1" w:rsidRDefault="00000000" w:rsidP="000E5EB1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>7.5. Efetuar o pagamento à Contratada no valor correspondente ao fornecimento dos objetos, no prazo e forma estabelecidos neste TR e seus anexos.</w:t>
      </w:r>
    </w:p>
    <w:p w14:paraId="6A1163F4" w14:textId="77777777" w:rsidR="0059002F" w:rsidRPr="000E5EB1" w:rsidRDefault="00000000" w:rsidP="000E5EB1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>7.6. A Administração não responderá por quaisquer compromissos assumidos pela Contratada com terceiros, ainda que vinculados à execução da presente aquisição, bem como por qualquer dano causado a terceiros em decorrência de ato da Contratada, de seus empregados, prepostos ou subordinados.</w:t>
      </w:r>
    </w:p>
    <w:p w14:paraId="383481ED" w14:textId="77777777" w:rsidR="0059002F" w:rsidRPr="000E5EB1" w:rsidRDefault="0059002F" w:rsidP="000E5EB1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5169255B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b/>
          <w:bCs/>
          <w:color w:val="000000"/>
          <w:sz w:val="20"/>
        </w:rPr>
        <w:t>8. OBRIGAÇÕES DA CONTRATADA</w:t>
      </w:r>
    </w:p>
    <w:p w14:paraId="49CB001B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>8.1. A Contratada deve cumprir todas as obrigações constantes neste TR, seus anexos e sua proposta, assumindo como exclusivamente seus os riscos e as despesas decorrentes da boa e perfeita execução do objeto.</w:t>
      </w:r>
    </w:p>
    <w:p w14:paraId="0BCFE2CE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>8.2. Efetuar a execução do serviço em perfeitas condições, conforme especificações, prazo e local constantes no Termo de Referência e seus anexos, acompanhado da respectiva nota fiscal, na qual constarão as indicações referentes a: marca, fabricante, modelo, procedência e prazo de validade.</w:t>
      </w:r>
    </w:p>
    <w:p w14:paraId="413CA7E4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>8.3. Substituir, reparar ou corrigir, às suas expensas, no prazo fixado neste Termo de Referência, o objeto com avarias ou defeitos.</w:t>
      </w:r>
    </w:p>
    <w:p w14:paraId="4F01B25D" w14:textId="77777777" w:rsidR="0059002F" w:rsidRPr="000E5EB1" w:rsidRDefault="00000000" w:rsidP="000E5EB1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>8.4. Indicar preposto para representá-la.</w:t>
      </w:r>
    </w:p>
    <w:p w14:paraId="0F248024" w14:textId="77777777" w:rsidR="0059002F" w:rsidRPr="000E5EB1" w:rsidRDefault="00000000" w:rsidP="000E5EB1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>8.5. A CONTRATADA será responsável pela observância das leis, decretos, regulamentos, portarias e normas federais, estaduais e municipais direta e indiretamente aplicáveis ao objeto do contrato.</w:t>
      </w:r>
    </w:p>
    <w:p w14:paraId="06549D34" w14:textId="77777777" w:rsidR="0059002F" w:rsidRPr="000E5EB1" w:rsidRDefault="00000000" w:rsidP="000E5EB1">
      <w:pPr>
        <w:tabs>
          <w:tab w:val="left" w:pos="0"/>
        </w:tabs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>8.6. A nota fiscal deverá ser acompanhada pelas Certidões de Regularidades Fiscais.</w:t>
      </w:r>
      <w:r w:rsidRPr="000E5EB1">
        <w:rPr>
          <w:rFonts w:ascii="Verdana" w:hAnsi="Verdana"/>
          <w:sz w:val="20"/>
        </w:rPr>
        <w:br/>
      </w:r>
      <w:r w:rsidRPr="000E5EB1">
        <w:rPr>
          <w:rFonts w:ascii="Verdana" w:hAnsi="Verdana" w:cs="Arial"/>
          <w:color w:val="000000"/>
          <w:sz w:val="20"/>
        </w:rPr>
        <w:t>8.7. A Contratada deve cumprir todas as obrigações constantes neste TR, seus anexos.</w:t>
      </w:r>
    </w:p>
    <w:p w14:paraId="771F893D" w14:textId="77777777" w:rsidR="0059002F" w:rsidRPr="000E5EB1" w:rsidRDefault="00000000" w:rsidP="000E5EB1">
      <w:pPr>
        <w:pStyle w:val="Corpodetexto"/>
        <w:spacing w:before="1" w:after="0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sz w:val="20"/>
        </w:rPr>
        <w:t>8.8. Todo o local de montagem deverá ser sinalizado de acordo com as normas de segurança.</w:t>
      </w:r>
    </w:p>
    <w:p w14:paraId="0FE0CF97" w14:textId="77777777" w:rsidR="0059002F" w:rsidRPr="000E5EB1" w:rsidRDefault="00000000" w:rsidP="000E5EB1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>8.9</w:t>
      </w:r>
      <w:r w:rsidRPr="000E5EB1">
        <w:rPr>
          <w:rFonts w:ascii="Verdana" w:hAnsi="Verdana" w:cs="Arial"/>
          <w:b/>
          <w:bCs/>
          <w:color w:val="000000"/>
          <w:sz w:val="20"/>
        </w:rPr>
        <w:t>.</w:t>
      </w:r>
      <w:r w:rsidRPr="000E5EB1">
        <w:rPr>
          <w:rFonts w:ascii="Verdana" w:hAnsi="Verdana" w:cs="Arial"/>
          <w:color w:val="000000"/>
          <w:sz w:val="20"/>
        </w:rPr>
        <w:t xml:space="preserve"> A CONTRATADA deverá ter responsáveis técnicos qualificados pelos equipamentos no local do evento, durante todo o período da realização do mesmo, assim como promover às suas custas, além do controle tecnológico dos materiais a serem empregados nos serviços, a segurança necessária à perfeita, no tocante aos objetos, materiais e equipamentos instalados no local do evento.</w:t>
      </w:r>
    </w:p>
    <w:p w14:paraId="3E889305" w14:textId="77777777" w:rsidR="0059002F" w:rsidRPr="000E5EB1" w:rsidRDefault="0059002F" w:rsidP="000E5EB1">
      <w:pPr>
        <w:pStyle w:val="Corpodetexto"/>
        <w:tabs>
          <w:tab w:val="left" w:pos="0"/>
        </w:tabs>
        <w:spacing w:before="1" w:after="0"/>
        <w:jc w:val="both"/>
        <w:rPr>
          <w:rFonts w:ascii="Verdana" w:hAnsi="Verdana"/>
          <w:sz w:val="20"/>
        </w:rPr>
      </w:pPr>
    </w:p>
    <w:p w14:paraId="187D0561" w14:textId="77777777" w:rsidR="0059002F" w:rsidRPr="000E5EB1" w:rsidRDefault="00000000" w:rsidP="000E5EB1">
      <w:pPr>
        <w:tabs>
          <w:tab w:val="left" w:pos="0"/>
        </w:tabs>
        <w:spacing w:before="57" w:after="57" w:line="276" w:lineRule="auto"/>
        <w:rPr>
          <w:rFonts w:ascii="Verdana" w:hAnsi="Verdana"/>
          <w:sz w:val="20"/>
        </w:rPr>
      </w:pPr>
      <w:r w:rsidRPr="000E5EB1">
        <w:rPr>
          <w:rFonts w:ascii="Verdana" w:hAnsi="Verdana" w:cs="Arial"/>
          <w:b/>
          <w:bCs/>
          <w:sz w:val="20"/>
        </w:rPr>
        <w:t>9. RESULTADOS PRETENDIDOS</w:t>
      </w:r>
    </w:p>
    <w:p w14:paraId="0F44168F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 xml:space="preserve">9.1 Com a aquisição pretendida, busca-se promover da melhor forma possível a execução dos eventos esportivos, dentro dos protocolos de premiações, conforme já explicitado no item n. 5, deste ETP, viabilizando momentos lúdicos e de integração social, por meio de socialização, lazer e recreação para crianças/ adolescentes e adultos residentes no Município, atendendo ao que preceitua o ECRIAD, bem como demais políticas de garantia de direitos de crianças/ adolescentes, dentre outras inerentes à qualidade de vida da pessoa. As medalhas </w:t>
      </w:r>
      <w:r w:rsidRPr="000E5EB1">
        <w:rPr>
          <w:rFonts w:ascii="Verdana" w:hAnsi="Verdana" w:cs="Arial"/>
          <w:color w:val="000000"/>
          <w:sz w:val="20"/>
        </w:rPr>
        <w:lastRenderedPageBreak/>
        <w:t xml:space="preserve">e troféus a serem adquiridos viabilizarão a simbologia da vitória nas competições esportivas, de maneira concreta bem como eficiente. </w:t>
      </w:r>
    </w:p>
    <w:p w14:paraId="422227E4" w14:textId="77777777" w:rsidR="0059002F" w:rsidRPr="000E5EB1" w:rsidRDefault="0059002F" w:rsidP="000E5EB1">
      <w:pPr>
        <w:spacing w:line="276" w:lineRule="auto"/>
        <w:jc w:val="both"/>
        <w:rPr>
          <w:rFonts w:ascii="Verdana" w:hAnsi="Verdana" w:cs="Arial"/>
          <w:b/>
          <w:color w:val="000000"/>
          <w:sz w:val="20"/>
        </w:rPr>
      </w:pPr>
    </w:p>
    <w:p w14:paraId="33613BA8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b/>
          <w:bCs/>
          <w:sz w:val="20"/>
        </w:rPr>
        <w:t>10. REGULARIDADE FISCAL E TRABALHISTA</w:t>
      </w:r>
    </w:p>
    <w:p w14:paraId="343A701A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sz w:val="20"/>
        </w:rPr>
        <w:t>10.1. Cópia de inscrição no Cadastro de Pessoas Jurídicas – CNPJ.</w:t>
      </w:r>
    </w:p>
    <w:p w14:paraId="40EB67A4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sz w:val="20"/>
        </w:rPr>
        <w:t xml:space="preserve">10.2. Prova de regularidade com a Fazenda Pública Federal, referente à Certidão de Débitos relativos a Créditos Tributários Federais e à Dívida Ativa da União, que poderá ser solicitada no site http://receita.economia.gov.br; </w:t>
      </w:r>
    </w:p>
    <w:p w14:paraId="21F3E263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sz w:val="20"/>
        </w:rPr>
        <w:t xml:space="preserve">10.3.Prova de regularidade com a Fazenda Estadual, que poderá ser solicitada no site </w:t>
      </w:r>
      <w:hyperlink r:id="rId6">
        <w:r w:rsidRPr="000E5EB1">
          <w:rPr>
            <w:rFonts w:ascii="Verdana" w:hAnsi="Verdana" w:cs="Arial"/>
            <w:color w:val="000000"/>
            <w:sz w:val="20"/>
          </w:rPr>
          <w:t>https://internet.sefaz.es.gov.br</w:t>
        </w:r>
      </w:hyperlink>
      <w:r w:rsidRPr="000E5EB1">
        <w:rPr>
          <w:rFonts w:ascii="Verdana" w:hAnsi="Verdana" w:cs="Arial"/>
          <w:color w:val="000000"/>
          <w:sz w:val="20"/>
        </w:rPr>
        <w:t>;</w:t>
      </w:r>
    </w:p>
    <w:p w14:paraId="2440A158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sz w:val="20"/>
        </w:rPr>
        <w:t>10.4.  Prova de regularidade com a Fazenda Pública Municipal referente ao domicílio do interessado.</w:t>
      </w:r>
    </w:p>
    <w:p w14:paraId="5E7A7B58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sz w:val="20"/>
        </w:rPr>
        <w:t xml:space="preserve">10.5. Prova de inexistência de débitos inadimplidos perante a Justiça do Trabalho, mediante a apresentação de certidão negativa, nos termos do Título VII-A da Consolidação das Leis do Trabalho, aprovada pelo Decreto-Lei n.º 5.452, de 1º de maio de 1943, que poderá ser retirada no site </w:t>
      </w:r>
      <w:hyperlink r:id="rId7">
        <w:r w:rsidRPr="000E5EB1">
          <w:rPr>
            <w:rStyle w:val="Hyperlink"/>
            <w:rFonts w:ascii="Verdana" w:hAnsi="Verdana" w:cs="Arial"/>
            <w:sz w:val="20"/>
          </w:rPr>
          <w:t>http://www.tst.jus.br</w:t>
        </w:r>
      </w:hyperlink>
      <w:r w:rsidRPr="000E5EB1">
        <w:rPr>
          <w:rFonts w:ascii="Verdana" w:hAnsi="Verdana" w:cs="Arial"/>
          <w:sz w:val="20"/>
        </w:rPr>
        <w:t>.</w:t>
      </w:r>
    </w:p>
    <w:p w14:paraId="1BDAB8A9" w14:textId="77777777" w:rsidR="0059002F" w:rsidRPr="000E5EB1" w:rsidRDefault="0059002F" w:rsidP="000E5EB1">
      <w:pPr>
        <w:spacing w:line="276" w:lineRule="auto"/>
        <w:jc w:val="both"/>
        <w:rPr>
          <w:rFonts w:ascii="Verdana" w:hAnsi="Verdana" w:cs="Arial"/>
          <w:b/>
          <w:sz w:val="20"/>
          <w:u w:val="single"/>
        </w:rPr>
      </w:pPr>
    </w:p>
    <w:p w14:paraId="30EAEF22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b/>
          <w:bCs/>
          <w:sz w:val="20"/>
        </w:rPr>
        <w:t>11. DAS SANÇÕES ADMINISTRATIVAS</w:t>
      </w:r>
    </w:p>
    <w:p w14:paraId="3FE4A69F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color w:val="000000"/>
          <w:sz w:val="20"/>
        </w:rPr>
        <w:t>11</w:t>
      </w:r>
      <w:r w:rsidRPr="000E5EB1">
        <w:rPr>
          <w:rFonts w:ascii="Verdana" w:hAnsi="Verdana"/>
          <w:iCs/>
          <w:sz w:val="20"/>
        </w:rPr>
        <w:t>.1. Comete infração administrativa o fornecedor/prestador de serviço que cometer quaisquer das infrações previstas no art. 155 da Lei nº 14.133, de 2021, quais sejam:</w:t>
      </w:r>
    </w:p>
    <w:p w14:paraId="41D8EF3D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color w:val="000000"/>
          <w:sz w:val="20"/>
        </w:rPr>
        <w:t>11</w:t>
      </w:r>
      <w:r w:rsidRPr="000E5EB1">
        <w:rPr>
          <w:rFonts w:ascii="Verdana" w:hAnsi="Verdana"/>
          <w:iCs/>
          <w:sz w:val="20"/>
        </w:rPr>
        <w:t>.1.1. Dar causa à inexecução parcial do contrato.</w:t>
      </w:r>
    </w:p>
    <w:p w14:paraId="3A5EC9F5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color w:val="000000"/>
          <w:sz w:val="20"/>
        </w:rPr>
        <w:t>11</w:t>
      </w:r>
      <w:r w:rsidRPr="000E5EB1">
        <w:rPr>
          <w:rFonts w:ascii="Verdana" w:hAnsi="Verdana"/>
          <w:iCs/>
          <w:sz w:val="20"/>
        </w:rPr>
        <w:t>.1.2. Dar causa à inexecução parcial que cause grave dano à Administração, ao funcionamento dos serviços públicos ou ao interesse coletivo.</w:t>
      </w:r>
    </w:p>
    <w:p w14:paraId="61768AD4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color w:val="000000"/>
          <w:sz w:val="20"/>
        </w:rPr>
        <w:t>11</w:t>
      </w:r>
      <w:r w:rsidRPr="000E5EB1">
        <w:rPr>
          <w:rFonts w:ascii="Verdana" w:hAnsi="Verdana"/>
          <w:iCs/>
          <w:sz w:val="20"/>
        </w:rPr>
        <w:t>.1.3. Dar causa à inexecução total;</w:t>
      </w:r>
    </w:p>
    <w:p w14:paraId="1BB8C427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color w:val="000000"/>
          <w:sz w:val="20"/>
        </w:rPr>
        <w:t>11</w:t>
      </w:r>
      <w:r w:rsidRPr="000E5EB1">
        <w:rPr>
          <w:rFonts w:ascii="Verdana" w:hAnsi="Verdana"/>
          <w:iCs/>
          <w:sz w:val="20"/>
        </w:rPr>
        <w:t>.1.4. Deixar de entregar a documentação exigida para o certame.</w:t>
      </w:r>
    </w:p>
    <w:p w14:paraId="1A49DD8B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color w:val="000000"/>
          <w:sz w:val="20"/>
        </w:rPr>
        <w:t>11</w:t>
      </w:r>
      <w:r w:rsidRPr="000E5EB1">
        <w:rPr>
          <w:rFonts w:ascii="Verdana" w:hAnsi="Verdana"/>
          <w:iCs/>
          <w:sz w:val="20"/>
        </w:rPr>
        <w:t>.1.5. Não manter a proposta, salvo em decorrência de fato superveniente devidamente justificado.</w:t>
      </w:r>
    </w:p>
    <w:p w14:paraId="1EC4DB04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color w:val="000000"/>
          <w:sz w:val="20"/>
        </w:rPr>
        <w:t>11</w:t>
      </w:r>
      <w:r w:rsidRPr="000E5EB1">
        <w:rPr>
          <w:rFonts w:ascii="Verdana" w:hAnsi="Verdana"/>
          <w:iCs/>
          <w:sz w:val="20"/>
        </w:rPr>
        <w:t xml:space="preserve">.1.6. Não celebrar o contrato ou não entregar a documentação exigida para a contratação, quando convocado dentro do prazo de validade de sua proposta. </w:t>
      </w:r>
    </w:p>
    <w:p w14:paraId="0112E0CE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color w:val="000000"/>
          <w:sz w:val="20"/>
        </w:rPr>
        <w:t>11</w:t>
      </w:r>
      <w:r w:rsidRPr="000E5EB1">
        <w:rPr>
          <w:rFonts w:ascii="Verdana" w:hAnsi="Verdana"/>
          <w:iCs/>
          <w:sz w:val="20"/>
        </w:rPr>
        <w:t>.1.7. Ensejar o retardamento da execução ou da entrega do objeto sem motivo justificado,</w:t>
      </w:r>
    </w:p>
    <w:p w14:paraId="4C46E2BA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color w:val="000000"/>
          <w:sz w:val="20"/>
        </w:rPr>
        <w:t>11</w:t>
      </w:r>
      <w:r w:rsidRPr="000E5EB1">
        <w:rPr>
          <w:rFonts w:ascii="Verdana" w:hAnsi="Verdana"/>
          <w:iCs/>
          <w:sz w:val="20"/>
        </w:rPr>
        <w:t>.1.8. Apresentar declaração ou documentação falsa exigida para o certame ou prestar declaração falsa durante a dispensa eletrônica ou a execução do objeto.</w:t>
      </w:r>
    </w:p>
    <w:p w14:paraId="5674D3A2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sz w:val="20"/>
        </w:rPr>
        <w:t>11.1.9. Fraudar a dispensa eletrônica ou praticar ato fraudulento na execução do objeto.</w:t>
      </w:r>
    </w:p>
    <w:p w14:paraId="5AE7DFE4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color w:val="000000"/>
          <w:sz w:val="20"/>
        </w:rPr>
        <w:t>11</w:t>
      </w:r>
      <w:r w:rsidRPr="000E5EB1">
        <w:rPr>
          <w:rFonts w:ascii="Verdana" w:hAnsi="Verdana"/>
          <w:iCs/>
          <w:sz w:val="20"/>
        </w:rPr>
        <w:t>.1.10. Comportar-se de modo inidôneo ou cometer fraude de qualquer natureza.</w:t>
      </w:r>
    </w:p>
    <w:p w14:paraId="0C851934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color w:val="000000"/>
          <w:sz w:val="20"/>
        </w:rPr>
        <w:t>11</w:t>
      </w:r>
      <w:r w:rsidRPr="000E5EB1">
        <w:rPr>
          <w:rFonts w:ascii="Verdana" w:hAnsi="Verdana"/>
          <w:iCs/>
          <w:sz w:val="20"/>
        </w:rPr>
        <w:t>.1.10.1. Considera-se comportamento inidôneo, entre outros, a declaração falsa quanto às condições de participação, quanto ao enquadramento como ME/EPP ou o conluio entre os fornecedores, em qualquer momento da dispensa, mesmo após o encerramento da fase de lances.</w:t>
      </w:r>
    </w:p>
    <w:p w14:paraId="69249E87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color w:val="000000"/>
          <w:sz w:val="20"/>
        </w:rPr>
        <w:t>11</w:t>
      </w:r>
      <w:r w:rsidRPr="000E5EB1">
        <w:rPr>
          <w:rFonts w:ascii="Verdana" w:hAnsi="Verdana"/>
          <w:iCs/>
          <w:sz w:val="20"/>
        </w:rPr>
        <w:t>.1.11. Praticar atos ilícitos com vistas a frustrar os objetivos deste certame.</w:t>
      </w:r>
    </w:p>
    <w:p w14:paraId="3CE29B8D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color w:val="000000"/>
          <w:sz w:val="20"/>
        </w:rPr>
        <w:t>11</w:t>
      </w:r>
      <w:r w:rsidRPr="000E5EB1">
        <w:rPr>
          <w:rFonts w:ascii="Verdana" w:hAnsi="Verdana"/>
          <w:iCs/>
          <w:sz w:val="20"/>
        </w:rPr>
        <w:t>.1.12. Praticar ato lesivo previsto no art. 5º da Lei nº 12.846, de 1º de agosto de 2013.</w:t>
      </w:r>
    </w:p>
    <w:p w14:paraId="5C764963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color w:val="000000"/>
          <w:sz w:val="20"/>
        </w:rPr>
        <w:t>11.1.13.</w:t>
      </w:r>
      <w:r w:rsidRPr="000E5EB1">
        <w:rPr>
          <w:rFonts w:ascii="Verdana" w:hAnsi="Verdana"/>
          <w:iCs/>
          <w:sz w:val="20"/>
        </w:rPr>
        <w:t xml:space="preserve"> O fornecedor que cometer qualquer das infrações discriminadas nos subitens anteriores ficará sujeito, sem prejuízo da responsabilidade civil e criminal, às seguintes sanções:</w:t>
      </w:r>
    </w:p>
    <w:p w14:paraId="40EA3AA6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sz w:val="20"/>
        </w:rPr>
        <w:t xml:space="preserve">         a) Advertência pela falta do subitem 11.1.1 deste Termo de Referência, quando não se justificar a imposição de penalidade mais grave.</w:t>
      </w:r>
    </w:p>
    <w:p w14:paraId="74D8CA6B" w14:textId="77777777" w:rsidR="0059002F" w:rsidRPr="000E5EB1" w:rsidRDefault="00000000" w:rsidP="000E5EB1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sz w:val="20"/>
        </w:rPr>
        <w:t xml:space="preserve">            b) Multa, calculada na forma do edital, com base no total do valor da contratação realizada de forma direta e será aplicada ao responsável por qualquer das infrações administrativas previstas no item 11.1 deste Termo de Referência, no percentual de 10% (dez por cento), na hipótese de cometimento das infrações previstas nos itens 11.1.1 a </w:t>
      </w:r>
      <w:r w:rsidRPr="000E5EB1">
        <w:rPr>
          <w:rFonts w:ascii="Verdana" w:hAnsi="Verdana"/>
          <w:iCs/>
          <w:color w:val="000000"/>
          <w:sz w:val="20"/>
        </w:rPr>
        <w:t>11</w:t>
      </w:r>
      <w:r w:rsidRPr="000E5EB1">
        <w:rPr>
          <w:rFonts w:ascii="Verdana" w:hAnsi="Verdana"/>
          <w:iCs/>
          <w:sz w:val="20"/>
        </w:rPr>
        <w:t xml:space="preserve">.1.7 e 20% (vinte por cento), se cometidas infrações previstas nos itens 11.1.8 a 11.1.12; </w:t>
      </w:r>
    </w:p>
    <w:p w14:paraId="3BDA5C17" w14:textId="77777777" w:rsidR="0059002F" w:rsidRPr="000E5EB1" w:rsidRDefault="00000000" w:rsidP="000E5EB1">
      <w:pPr>
        <w:spacing w:line="276" w:lineRule="auto"/>
        <w:ind w:left="-57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sz w:val="20"/>
        </w:rPr>
        <w:lastRenderedPageBreak/>
        <w:t xml:space="preserve"> </w:t>
      </w:r>
      <w:r w:rsidRPr="000E5EB1">
        <w:rPr>
          <w:rFonts w:ascii="Verdana" w:hAnsi="Verdana"/>
          <w:iCs/>
          <w:sz w:val="20"/>
        </w:rPr>
        <w:tab/>
        <w:t>b.1) O valor da multa poderá ser descontado das faturas devidas à CONTRATADA;</w:t>
      </w:r>
    </w:p>
    <w:p w14:paraId="430BA384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sz w:val="20"/>
        </w:rPr>
        <w:t xml:space="preserve"> </w:t>
      </w:r>
      <w:r w:rsidRPr="000E5EB1">
        <w:rPr>
          <w:rFonts w:ascii="Verdana" w:hAnsi="Verdana"/>
          <w:iCs/>
          <w:sz w:val="20"/>
        </w:rPr>
        <w:tab/>
        <w:t xml:space="preserve">b.2) A multa pode ser aplicada isoladamente ou juntamente com as penalidades definidas nos itens “c” e “d” abaixo: </w:t>
      </w:r>
    </w:p>
    <w:p w14:paraId="308CCB88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sz w:val="20"/>
        </w:rPr>
        <w:t xml:space="preserve">         c) Impedimento de licitar e contratar no âmbito da Administração Pública direta e indireta do ente federativo que tiver aplicado a sanção, pelo prazo máximo de 03 (três) anos, nos casos dos subitens 11.1.2 a 11.1.7 deste Termo de Referência, quando não se justificar a imposição de penalidade mais grave.</w:t>
      </w:r>
    </w:p>
    <w:p w14:paraId="2468EC50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sz w:val="20"/>
        </w:rPr>
        <w:t xml:space="preserve"> </w:t>
      </w:r>
      <w:r w:rsidRPr="000E5EB1">
        <w:rPr>
          <w:rFonts w:ascii="Verdana" w:hAnsi="Verdana"/>
          <w:iCs/>
          <w:sz w:val="20"/>
        </w:rPr>
        <w:tab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11.1.2 a 11.1.12, deste Termo de Referência.</w:t>
      </w:r>
    </w:p>
    <w:p w14:paraId="683E6C9C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color w:val="000000"/>
          <w:sz w:val="20"/>
        </w:rPr>
        <w:t>11</w:t>
      </w:r>
      <w:r w:rsidRPr="000E5EB1">
        <w:rPr>
          <w:rFonts w:ascii="Verdana" w:hAnsi="Verdana"/>
          <w:iCs/>
          <w:sz w:val="20"/>
        </w:rPr>
        <w:t>.3. Na aplicação das sanções serão considerados:</w:t>
      </w:r>
    </w:p>
    <w:p w14:paraId="3DD99BAD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color w:val="000000"/>
          <w:sz w:val="20"/>
        </w:rPr>
        <w:t>11</w:t>
      </w:r>
      <w:r w:rsidRPr="000E5EB1">
        <w:rPr>
          <w:rFonts w:ascii="Verdana" w:hAnsi="Verdana"/>
          <w:iCs/>
          <w:sz w:val="20"/>
        </w:rPr>
        <w:t>.3.1. A natureza e a gravidade da infração cometida.</w:t>
      </w:r>
    </w:p>
    <w:p w14:paraId="6036111D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sz w:val="20"/>
        </w:rPr>
        <w:t>11.3.2. As peculiaridades do caso concreto.</w:t>
      </w:r>
    </w:p>
    <w:p w14:paraId="153B7A80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sz w:val="20"/>
        </w:rPr>
        <w:t>11.3.3. As circunstâncias agravantes ou atenuantes.</w:t>
      </w:r>
    </w:p>
    <w:p w14:paraId="25D748BC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sz w:val="20"/>
        </w:rPr>
        <w:t>11.3.4. Os danos que dela provierem para a Administração Pública.</w:t>
      </w:r>
    </w:p>
    <w:p w14:paraId="4F0E0BAB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color w:val="000000"/>
          <w:sz w:val="20"/>
        </w:rPr>
        <w:t>11</w:t>
      </w:r>
      <w:r w:rsidRPr="000E5EB1">
        <w:rPr>
          <w:rFonts w:ascii="Verdana" w:hAnsi="Verdana"/>
          <w:iCs/>
          <w:sz w:val="20"/>
        </w:rPr>
        <w:t>.3.5. A implantação ou o aperfeiçoamento de programa de integridade, conforme normas e orientações dos órgãos de controle.</w:t>
      </w:r>
    </w:p>
    <w:p w14:paraId="68E281E0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sz w:val="20"/>
        </w:rPr>
        <w:t>11.4.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549D57A6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iCs/>
          <w:sz w:val="20"/>
          <w:lang w:eastAsia="en-US"/>
        </w:rPr>
        <w:t>11.5.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33385D03" w14:textId="77777777" w:rsidR="0059002F" w:rsidRPr="000E5EB1" w:rsidRDefault="0059002F" w:rsidP="000E5EB1">
      <w:pPr>
        <w:spacing w:line="276" w:lineRule="auto"/>
        <w:jc w:val="both"/>
        <w:rPr>
          <w:rFonts w:ascii="Verdana" w:hAnsi="Verdana"/>
          <w:sz w:val="20"/>
        </w:rPr>
      </w:pPr>
    </w:p>
    <w:p w14:paraId="14551089" w14:textId="77777777" w:rsidR="0059002F" w:rsidRPr="000E5EB1" w:rsidRDefault="00000000" w:rsidP="000E5EB1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b/>
          <w:bCs/>
          <w:sz w:val="20"/>
          <w:lang w:eastAsia="en-US"/>
        </w:rPr>
        <w:t>12. DA HABILITAÇÃO</w:t>
      </w:r>
      <w:r w:rsidRPr="000E5EB1">
        <w:rPr>
          <w:rFonts w:ascii="Verdana" w:hAnsi="Verdana"/>
          <w:sz w:val="20"/>
          <w:lang w:eastAsia="en-US"/>
        </w:rPr>
        <w:t xml:space="preserve"> </w:t>
      </w:r>
    </w:p>
    <w:p w14:paraId="1E682672" w14:textId="77777777" w:rsidR="0059002F" w:rsidRPr="000E5EB1" w:rsidRDefault="00000000" w:rsidP="000E5EB1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E5EB1">
        <w:rPr>
          <w:rFonts w:ascii="Verdana" w:hAnsi="Verdana" w:cs="Verdana"/>
          <w:sz w:val="20"/>
          <w:lang w:eastAsia="ar-SA"/>
        </w:rPr>
        <w:t>12.1 Como condição prévia ao exame da documentação de habilitação do licitante detentor da proposta classificada em primeiro lugar, o agente de contratação verificará o eventual descumprimento das condições de participação, especialmente quanto à existência de sanção que impeça a participação no certame ou a futura contratação, mediante a consulta aos seguintes cadastros:</w:t>
      </w:r>
    </w:p>
    <w:p w14:paraId="1C97B29E" w14:textId="77777777" w:rsidR="0059002F" w:rsidRPr="000E5EB1" w:rsidRDefault="00000000" w:rsidP="000E5EB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sz w:val="20"/>
          <w:szCs w:val="20"/>
          <w:lang w:eastAsia="ar-SA"/>
        </w:rPr>
        <w:t>a) SICAF;</w:t>
      </w:r>
    </w:p>
    <w:p w14:paraId="02AC0AA7" w14:textId="77777777" w:rsidR="0059002F" w:rsidRPr="000E5EB1" w:rsidRDefault="00000000" w:rsidP="000E5EB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sz w:val="20"/>
          <w:szCs w:val="20"/>
          <w:lang w:eastAsia="ar-SA"/>
        </w:rPr>
        <w:t xml:space="preserve">b) Cadastro Nacional de Empresas Inidôneas e Suspensas – CEIS, mantido pela </w:t>
      </w:r>
      <w:r w:rsidRPr="000E5EB1">
        <w:rPr>
          <w:rFonts w:ascii="Verdana" w:hAnsi="Verdana" w:cs="Verdana"/>
          <w:color w:val="000000"/>
          <w:sz w:val="20"/>
          <w:szCs w:val="20"/>
          <w:lang w:eastAsia="ar-SA"/>
        </w:rPr>
        <w:t>Controladoria-Geral da União (</w:t>
      </w:r>
      <w:hyperlink r:id="rId8">
        <w:r w:rsidRPr="000E5EB1">
          <w:rPr>
            <w:rFonts w:ascii="Verdana" w:hAnsi="Verdana" w:cs="Verdana"/>
            <w:color w:val="000000"/>
            <w:sz w:val="20"/>
            <w:szCs w:val="20"/>
            <w:lang w:eastAsia="ar-SA"/>
          </w:rPr>
          <w:t>www.portaldatransparencia.gov.br/ceis</w:t>
        </w:r>
      </w:hyperlink>
      <w:r w:rsidRPr="000E5EB1">
        <w:rPr>
          <w:rFonts w:ascii="Verdana" w:hAnsi="Verdana" w:cs="Verdana"/>
          <w:color w:val="000000"/>
          <w:sz w:val="20"/>
          <w:szCs w:val="20"/>
          <w:lang w:eastAsia="ar-SA"/>
        </w:rPr>
        <w:t>);</w:t>
      </w:r>
    </w:p>
    <w:p w14:paraId="1D216570" w14:textId="77777777" w:rsidR="0059002F" w:rsidRPr="000E5EB1" w:rsidRDefault="00000000" w:rsidP="000E5EB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color w:val="000000"/>
          <w:sz w:val="20"/>
          <w:szCs w:val="20"/>
          <w:lang w:eastAsia="ar-SA"/>
        </w:rPr>
        <w:t>c) Cadastro Nacional de Condenações Cíveis por Atos de Improbidade Administrativa, mantido pelo Conselho Nacional de Justiça (</w:t>
      </w:r>
      <w:hyperlink r:id="rId9">
        <w:r w:rsidRPr="000E5EB1">
          <w:rPr>
            <w:rFonts w:ascii="Verdana" w:hAnsi="Verdana" w:cs="Verdana"/>
            <w:color w:val="000000"/>
            <w:sz w:val="20"/>
            <w:szCs w:val="20"/>
            <w:lang w:eastAsia="ar-SA"/>
          </w:rPr>
          <w:t>www.cnj.jus.br/improbidade_adm/consultar_requerido.php</w:t>
        </w:r>
      </w:hyperlink>
      <w:r w:rsidRPr="000E5EB1">
        <w:rPr>
          <w:rFonts w:ascii="Verdana" w:hAnsi="Verdana" w:cs="Verdana"/>
          <w:color w:val="000000"/>
          <w:sz w:val="20"/>
          <w:szCs w:val="20"/>
          <w:lang w:eastAsia="ar-SA"/>
        </w:rPr>
        <w:t>).</w:t>
      </w:r>
    </w:p>
    <w:p w14:paraId="253D3915" w14:textId="77777777" w:rsidR="0059002F" w:rsidRPr="000E5EB1" w:rsidRDefault="00000000" w:rsidP="000E5EB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color w:val="000000"/>
          <w:sz w:val="20"/>
          <w:szCs w:val="20"/>
          <w:lang w:eastAsia="ar-SA"/>
        </w:rPr>
        <w:t>d) Cadastro de Inidôneos e o Cadastro Integrado de Condenações por Ilícitos Administrativos – CADICON, mantidos pelo Tribunal de Contas da União – TCU;</w:t>
      </w:r>
    </w:p>
    <w:p w14:paraId="38C3985F" w14:textId="77777777" w:rsidR="0059002F" w:rsidRPr="000E5EB1" w:rsidRDefault="00000000" w:rsidP="000E5EB1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Verdana"/>
          <w:color w:val="000000"/>
          <w:sz w:val="20"/>
          <w:lang w:eastAsia="ar-SA"/>
        </w:rPr>
        <w:t>e) Cadastro de empresas inid</w:t>
      </w:r>
      <w:r w:rsidRPr="000E5EB1">
        <w:rPr>
          <w:rFonts w:ascii="Verdana" w:hAnsi="Verdana" w:cs="Verdana"/>
          <w:color w:val="000000"/>
          <w:sz w:val="20"/>
        </w:rPr>
        <w:t>ôneas, mantido pelo Tribunal de Contas do Estado do Espírito Santo –TCE/ES(https://www.tcees.tc.br/portal-da-transparencia/consultas/lista-de-responsaveis/empresas-inidoneas/) e proibidas de contratar com o Poder Público estadual ou municipal(</w:t>
      </w:r>
      <w:hyperlink r:id="rId10">
        <w:r w:rsidRPr="000E5EB1">
          <w:rPr>
            <w:rFonts w:ascii="Verdana" w:hAnsi="Verdana" w:cs="Verdana"/>
            <w:color w:val="000000"/>
            <w:sz w:val="20"/>
          </w:rPr>
          <w:t>https://www.tcees.tc.br/portal-da-transparencia/consultas/lista-de</w:t>
        </w:r>
      </w:hyperlink>
      <w:r w:rsidRPr="000E5EB1">
        <w:rPr>
          <w:rFonts w:ascii="Verdana" w:hAnsi="Verdana" w:cs="Verdana"/>
          <w:color w:val="000000"/>
          <w:sz w:val="20"/>
        </w:rPr>
        <w:t xml:space="preserve"> responsáveis/proibidos-de-contratar/).</w:t>
      </w:r>
    </w:p>
    <w:p w14:paraId="42B941C3" w14:textId="77777777" w:rsidR="0059002F" w:rsidRPr="000E5EB1" w:rsidRDefault="00000000" w:rsidP="000E5EB1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Verdana"/>
          <w:color w:val="000000"/>
          <w:sz w:val="20"/>
          <w:lang w:eastAsia="ar-SA"/>
        </w:rPr>
        <w:t>12.1.1. Para a consulta de licitantes pessoa jurídica poderá haver a substituição das consultas das alíneas “b”, “c” e “d” acima pela Consulta Consolidada de Pessoa Jurídica do TCU (</w:t>
      </w:r>
      <w:hyperlink r:id="rId11">
        <w:r w:rsidRPr="000E5EB1">
          <w:rPr>
            <w:rFonts w:ascii="Verdana" w:hAnsi="Verdana" w:cs="Verdana"/>
            <w:color w:val="000000"/>
            <w:sz w:val="20"/>
            <w:lang w:eastAsia="ar-SA"/>
          </w:rPr>
          <w:t>https://certidoesapf.apps.tcu.gov.br/</w:t>
        </w:r>
      </w:hyperlink>
      <w:r w:rsidRPr="000E5EB1">
        <w:rPr>
          <w:rFonts w:ascii="Verdana" w:hAnsi="Verdana" w:cs="Verdana"/>
          <w:color w:val="000000"/>
          <w:sz w:val="20"/>
          <w:lang w:eastAsia="ar-SA"/>
        </w:rPr>
        <w:t>);</w:t>
      </w:r>
    </w:p>
    <w:p w14:paraId="581CBA18" w14:textId="77777777" w:rsidR="0059002F" w:rsidRPr="000E5EB1" w:rsidRDefault="00000000" w:rsidP="000E5EB1">
      <w:pPr>
        <w:spacing w:before="57" w:after="57"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Verdana"/>
          <w:color w:val="000000"/>
          <w:sz w:val="20"/>
        </w:rPr>
        <w:lastRenderedPageBreak/>
        <w:t>12.1.2. A consulta aos cadastros será realizada em nome da empresa licitante e também de seu sócio majoritário, por força do artigo 12 da Lei n° 8.429, de 1992, que prevê, dentre as sanções impostas ao responsável pela prática de ato de improbidade administrativa, a proibição de contratar com o Poder Público, inclusive por intermédio de pessoa jurídica da qual seja sócio majoritário.</w:t>
      </w:r>
    </w:p>
    <w:p w14:paraId="611C05E8" w14:textId="77777777" w:rsidR="0059002F" w:rsidRPr="000E5EB1" w:rsidRDefault="00000000" w:rsidP="000E5EB1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color w:val="000000"/>
          <w:sz w:val="20"/>
          <w:szCs w:val="20"/>
        </w:rPr>
        <w:t>12.1.2.1. Caso conste na Consulta de Situação do Fornecedor a existência de Ocorrências Impeditivas Indiretas, o gestor diligenciará para verificar se houve fraude por parte das empresas apontadas no Relatório de Ocorrências Impeditivas Indiretas.</w:t>
      </w:r>
    </w:p>
    <w:p w14:paraId="0B1B714C" w14:textId="77777777" w:rsidR="0059002F" w:rsidRPr="000E5EB1" w:rsidRDefault="00000000" w:rsidP="000E5EB1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color w:val="000000"/>
          <w:sz w:val="20"/>
          <w:szCs w:val="20"/>
        </w:rPr>
        <w:t>12.1.2.2. A tentativa de burla será verificada por meio dos vínculos societários, linhas de fornecimento similares, dentre outros.</w:t>
      </w:r>
    </w:p>
    <w:p w14:paraId="36D6262F" w14:textId="77777777" w:rsidR="0059002F" w:rsidRPr="000E5EB1" w:rsidRDefault="00000000" w:rsidP="000E5EB1">
      <w:pPr>
        <w:pStyle w:val="PargrafodaLista"/>
        <w:tabs>
          <w:tab w:val="left" w:pos="733"/>
          <w:tab w:val="left" w:pos="900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color w:val="000000"/>
          <w:sz w:val="20"/>
          <w:szCs w:val="20"/>
        </w:rPr>
        <w:t>12.1.2.3. O licitante será convocado para manifestação previamente à sua desclassificação.</w:t>
      </w:r>
    </w:p>
    <w:p w14:paraId="5083AE0B" w14:textId="77777777" w:rsidR="0059002F" w:rsidRPr="000E5EB1" w:rsidRDefault="00000000" w:rsidP="000E5EB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color w:val="000000"/>
          <w:sz w:val="20"/>
          <w:szCs w:val="20"/>
        </w:rPr>
        <w:t>12.1.3 .Constatada a existência de sanção, o Pregoeiro reputará o licitante inabilitado, por falta de condição de participação.</w:t>
      </w:r>
    </w:p>
    <w:p w14:paraId="66B8B515" w14:textId="77777777" w:rsidR="0059002F" w:rsidRPr="000E5EB1" w:rsidRDefault="00000000" w:rsidP="000E5EB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color w:val="000000"/>
          <w:sz w:val="20"/>
          <w:szCs w:val="20"/>
        </w:rPr>
        <w:t>12.1.4. No caso de inabilitação, haverá nova verificação, pelo sistema, da eventual ocorrência do empate ficto, previsto nos arts. 44 e 45 da Lei Complementar nº 123, de 2006, seguindo-se a disciplina antes estabelecida para aceitação da proposta subsequente.</w:t>
      </w:r>
    </w:p>
    <w:p w14:paraId="5707E5B5" w14:textId="77777777" w:rsidR="0059002F" w:rsidRPr="000E5EB1" w:rsidRDefault="00000000" w:rsidP="000E5EB1">
      <w:pPr>
        <w:pStyle w:val="PargrafodaLista"/>
        <w:tabs>
          <w:tab w:val="left" w:pos="567"/>
        </w:tabs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sz w:val="20"/>
          <w:szCs w:val="20"/>
          <w:lang w:eastAsia="ar-SA"/>
        </w:rPr>
        <w:t xml:space="preserve">12.2. </w:t>
      </w:r>
      <w:r w:rsidRPr="000E5EB1">
        <w:rPr>
          <w:rFonts w:ascii="Verdana" w:hAnsi="Verdana" w:cs="Verdana"/>
          <w:color w:val="000000"/>
          <w:sz w:val="20"/>
          <w:szCs w:val="20"/>
        </w:rPr>
        <w:t xml:space="preserve">Caso atendidas as condições de participação, </w:t>
      </w:r>
      <w:r w:rsidRPr="000E5EB1">
        <w:rPr>
          <w:rFonts w:ascii="Verdana" w:hAnsi="Verdana" w:cs="Verdana"/>
          <w:sz w:val="20"/>
          <w:szCs w:val="20"/>
        </w:rPr>
        <w:t>a habilitação dos licitantes será verificada por meio do SICAF, nos documentos por ele abrangidos</w:t>
      </w:r>
      <w:r w:rsidRPr="000E5EB1">
        <w:rPr>
          <w:rFonts w:ascii="Verdana" w:hAnsi="Verdana" w:cs="Verdana"/>
          <w:sz w:val="20"/>
          <w:szCs w:val="20"/>
          <w:lang w:eastAsia="ar-SA"/>
        </w:rPr>
        <w:t xml:space="preserve"> em relação à habilitação jurídica, à regularidade fiscal e trabalhista, à qualificação econômica financeira e habilitação técnica, conforme o disposto na Instrução Normativa SEGES/MP nº 03, de 2018, alterada pela Instrução Normativa SEGES/MP nº 10 de 2020.</w:t>
      </w:r>
    </w:p>
    <w:p w14:paraId="65042CFD" w14:textId="77777777" w:rsidR="0059002F" w:rsidRPr="000E5EB1" w:rsidRDefault="00000000" w:rsidP="000E5EB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sz w:val="20"/>
          <w:szCs w:val="20"/>
          <w:lang w:eastAsia="ar-SA"/>
        </w:rPr>
        <w:t>12.2..1. O interessado, para efeitos de habilitação prevista na Instrução Normativa SEGES/MP nº 03, de 2018 mediante utilização do sistema, deverá atender às condições exigidas no cadastramento no SICAF até o terceiro dia útil anterior à data prevista para recebimento das propostas;</w:t>
      </w:r>
    </w:p>
    <w:p w14:paraId="6C3ED6C0" w14:textId="77777777" w:rsidR="0059002F" w:rsidRPr="000E5EB1" w:rsidRDefault="00000000" w:rsidP="000E5EB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color w:val="000000"/>
          <w:sz w:val="20"/>
          <w:szCs w:val="20"/>
        </w:rPr>
        <w:t>12.2.2. É dever do licitante atualizar previamente as comprovações constantes do SICAF para que estejam vigentes na data da abertura da sessão pública, ou encaminhar, em conjunto com a apresentação da proposta, a respectiva documentação atualizada.</w:t>
      </w:r>
    </w:p>
    <w:p w14:paraId="41C172B8" w14:textId="77777777" w:rsidR="0059002F" w:rsidRPr="000E5EB1" w:rsidRDefault="00000000" w:rsidP="000E5EB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color w:val="000000"/>
          <w:sz w:val="20"/>
          <w:szCs w:val="20"/>
        </w:rPr>
        <w:t>12.2.3. O descumprimento do subitem acima implicará a inabilitação do licitante, exceto se a consulta aos sítios eletrônicos oficiais emissores de certidões feita pelo Pregoeiro lograr êxito em encontrar a(s) certidão(ões) válida(s), conforme art. 43, §3º, do Decreto 10.024, de 2019.</w:t>
      </w:r>
    </w:p>
    <w:p w14:paraId="355AD722" w14:textId="77777777" w:rsidR="0059002F" w:rsidRPr="000E5EB1" w:rsidRDefault="00000000" w:rsidP="000E5EB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color w:val="000000"/>
          <w:sz w:val="20"/>
          <w:szCs w:val="20"/>
        </w:rPr>
        <w:t>12.3. Havendo a necessidade de envio de documentos de habilitação complementares, necessários à confirmação daqueles exigidos neste Edital e já apresentados, o licitante será convocado a encaminhá-los, em formato digital, via sistema, no prazo de 02 (duas) horas, sob pena de inabilitação.</w:t>
      </w:r>
    </w:p>
    <w:p w14:paraId="78FC0878" w14:textId="77777777" w:rsidR="0059002F" w:rsidRPr="000E5EB1" w:rsidRDefault="00000000" w:rsidP="000E5EB1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0E5EB1">
        <w:rPr>
          <w:rFonts w:ascii="Verdana" w:hAnsi="Verdana" w:cs="Verdana"/>
          <w:sz w:val="20"/>
          <w:szCs w:val="20"/>
        </w:rPr>
        <w:t>12.4. Somente haverá a necessidade de comprovação do preenchimento de requisitos mediante apresentação dos documentos originais não-digitais quando houver dúvida em relação à integridade do documento digital.</w:t>
      </w:r>
    </w:p>
    <w:p w14:paraId="77DDCA9E" w14:textId="77777777" w:rsidR="0059002F" w:rsidRPr="000E5EB1" w:rsidRDefault="00000000" w:rsidP="000E5EB1">
      <w:pPr>
        <w:pStyle w:val="PargrafodaLista"/>
        <w:spacing w:before="57" w:after="57"/>
        <w:ind w:left="0"/>
        <w:jc w:val="both"/>
        <w:rPr>
          <w:rFonts w:ascii="Verdana" w:hAnsi="Verdana" w:cs="Verdana"/>
          <w:sz w:val="20"/>
          <w:szCs w:val="20"/>
        </w:rPr>
      </w:pPr>
      <w:r w:rsidRPr="000E5EB1">
        <w:rPr>
          <w:rFonts w:ascii="Verdana" w:hAnsi="Verdana" w:cs="Verdana"/>
          <w:sz w:val="20"/>
          <w:szCs w:val="20"/>
        </w:rPr>
        <w:t>12.5. Não serão aceitos documentos de habilitação com indicação de CNPJ/CPF diferentes, salvo aqueles legalmente permitidos.</w:t>
      </w:r>
    </w:p>
    <w:p w14:paraId="12B30650" w14:textId="77777777" w:rsidR="0059002F" w:rsidRPr="000E5EB1" w:rsidRDefault="00000000" w:rsidP="000E5EB1">
      <w:pPr>
        <w:pStyle w:val="PADRO"/>
        <w:widowControl/>
        <w:tabs>
          <w:tab w:val="left" w:pos="567"/>
        </w:tabs>
        <w:spacing w:before="57" w:after="57"/>
        <w:ind w:firstLine="0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sz w:val="20"/>
          <w:szCs w:val="20"/>
        </w:rPr>
        <w:t>12.6. Serão aceitos registros de CNPJ de licitante matriz e filial com diferenças de números de documentos pertinentes ao CND e ao CRF/FGTS, quando for comprovada a centralização do recolhimento dessas contribuições.</w:t>
      </w:r>
    </w:p>
    <w:p w14:paraId="7905E8BA" w14:textId="77777777" w:rsidR="0059002F" w:rsidRPr="000E5EB1" w:rsidRDefault="00000000" w:rsidP="000E5EB1">
      <w:pPr>
        <w:pStyle w:val="PADRO"/>
        <w:widowControl/>
        <w:tabs>
          <w:tab w:val="left" w:pos="567"/>
        </w:tabs>
        <w:spacing w:before="0" w:after="0"/>
        <w:ind w:firstLine="0"/>
        <w:rPr>
          <w:rFonts w:ascii="Verdana" w:hAnsi="Verdana" w:cs="Verdana"/>
          <w:color w:val="000000"/>
          <w:sz w:val="20"/>
          <w:szCs w:val="20"/>
        </w:rPr>
      </w:pPr>
      <w:r w:rsidRPr="000E5EB1">
        <w:rPr>
          <w:rFonts w:ascii="Verdana" w:hAnsi="Verdana" w:cs="Verdana"/>
          <w:color w:val="000000"/>
          <w:sz w:val="20"/>
          <w:szCs w:val="20"/>
        </w:rPr>
        <w:t>12.7. Os licitantes deverão encaminhar, nos termos deste Edital, a documentação relacionada nos itens a seguir, para fins de habilitação:</w:t>
      </w:r>
    </w:p>
    <w:p w14:paraId="011A6A82" w14:textId="77777777" w:rsidR="0059002F" w:rsidRPr="000E5EB1" w:rsidRDefault="00000000" w:rsidP="000E5EB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b/>
          <w:bCs/>
          <w:color w:val="000000"/>
          <w:sz w:val="20"/>
          <w:szCs w:val="20"/>
        </w:rPr>
        <w:tab/>
        <w:t>12.8. Habilitação jurídica:</w:t>
      </w:r>
    </w:p>
    <w:p w14:paraId="6D74BFAF" w14:textId="77777777" w:rsidR="0059002F" w:rsidRPr="000E5EB1" w:rsidRDefault="00000000" w:rsidP="000E5EB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color w:val="000000"/>
          <w:sz w:val="20"/>
          <w:szCs w:val="20"/>
        </w:rPr>
        <w:t>12.8.1. No caso de empresário individual: inscrição no Registro Público de Empresas Mercantis, a cargo da Junta Comercial da respectiva sede;</w:t>
      </w:r>
    </w:p>
    <w:p w14:paraId="32EAA133" w14:textId="77777777" w:rsidR="0059002F" w:rsidRPr="000E5EB1" w:rsidRDefault="00000000" w:rsidP="000E5EB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color w:val="000000"/>
          <w:sz w:val="20"/>
          <w:szCs w:val="20"/>
        </w:rPr>
        <w:lastRenderedPageBreak/>
        <w:t>12.8.2. Em se tratando de microempreendedor individual – MEI: Certificado da Condição de Microempreendedor Individual – CCMEI, cuja aceitação ficará condicionada à verificação da autenticidade no síti</w:t>
      </w:r>
      <w:r w:rsidRPr="000E5EB1">
        <w:rPr>
          <w:rFonts w:ascii="Verdana" w:hAnsi="Verdana" w:cs="Verdana"/>
          <w:color w:val="000000"/>
          <w:sz w:val="20"/>
          <w:szCs w:val="20"/>
          <w:u w:val="single"/>
        </w:rPr>
        <w:t xml:space="preserve">o </w:t>
      </w:r>
      <w:hyperlink r:id="rId12">
        <w:r w:rsidRPr="000E5EB1">
          <w:rPr>
            <w:rFonts w:ascii="Verdana" w:hAnsi="Verdana" w:cs="Verdana"/>
            <w:color w:val="000000"/>
            <w:sz w:val="20"/>
            <w:szCs w:val="20"/>
            <w:u w:val="single"/>
          </w:rPr>
          <w:t>www.portaldoempreendedor.gov.br</w:t>
        </w:r>
      </w:hyperlink>
      <w:r w:rsidRPr="000E5EB1">
        <w:rPr>
          <w:rFonts w:ascii="Verdana" w:hAnsi="Verdana" w:cs="Verdana"/>
          <w:color w:val="000000"/>
          <w:sz w:val="20"/>
          <w:szCs w:val="20"/>
          <w:u w:val="single"/>
        </w:rPr>
        <w:t>;</w:t>
      </w:r>
    </w:p>
    <w:p w14:paraId="6E36F3DF" w14:textId="77777777" w:rsidR="0059002F" w:rsidRPr="000E5EB1" w:rsidRDefault="00000000" w:rsidP="000E5EB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color w:val="000000"/>
          <w:sz w:val="20"/>
          <w:szCs w:val="20"/>
        </w:rPr>
        <w:t>12.8.3. No caso de sociedade empresária ou empresa individual de responsabilidade limitada – EIRELI: ato constitutivo, estatuto ou contrato social em vigor, devidamente registrado na Junta Comercial da respectiva sede, acompanhado de documento comprobatório de seus administradores;</w:t>
      </w:r>
    </w:p>
    <w:p w14:paraId="4D36A3C1" w14:textId="77777777" w:rsidR="0059002F" w:rsidRPr="000E5EB1" w:rsidRDefault="00000000" w:rsidP="000E5EB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color w:val="000000"/>
          <w:sz w:val="20"/>
          <w:szCs w:val="20"/>
        </w:rPr>
        <w:t>12.8.4. Inscrição no Registro Público de Empresas Mercantis onde opera, com averbação no Registro onde tem sede a matriz, no caso de ser o participante sucursal, filial ou agência;</w:t>
      </w:r>
    </w:p>
    <w:p w14:paraId="4434F2C3" w14:textId="77777777" w:rsidR="0059002F" w:rsidRPr="000E5EB1" w:rsidRDefault="00000000" w:rsidP="000E5EB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color w:val="000000"/>
          <w:sz w:val="20"/>
          <w:szCs w:val="20"/>
        </w:rPr>
        <w:t>12.8.5. No caso de sociedade simples: inscrição do ato constitutivo no Registro Civil das Pessoas Jurídicas do local de sua sede, acompanhada de prova da indicação dos seus administradores;</w:t>
      </w:r>
    </w:p>
    <w:p w14:paraId="3E51FFE7" w14:textId="77777777" w:rsidR="0059002F" w:rsidRPr="000E5EB1" w:rsidRDefault="00000000" w:rsidP="000E5EB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color w:val="000000"/>
          <w:sz w:val="20"/>
          <w:szCs w:val="20"/>
        </w:rPr>
        <w:t>12.8.6. No caso de cooperativa: ata de fundação e estatuto social em vigor, com a ata da assembleia que o aprovou, devidamente arquivado na Junta Comercial ou inscrito no Registro Civil das Pessoas Jurídicas da respectiva sede, bem como o registro de que trata o art. 107 da Lei nº 5.764, de 1971;</w:t>
      </w:r>
    </w:p>
    <w:p w14:paraId="6AD30B52" w14:textId="77777777" w:rsidR="0059002F" w:rsidRPr="000E5EB1" w:rsidRDefault="00000000" w:rsidP="000E5EB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color w:val="000000"/>
          <w:sz w:val="20"/>
          <w:szCs w:val="20"/>
        </w:rPr>
        <w:t>12.8.7. No caso de empresa ou sociedade estrangeira em funcionamento no País: decreto de autorização;</w:t>
      </w:r>
    </w:p>
    <w:p w14:paraId="3D6630CA" w14:textId="77777777" w:rsidR="0059002F" w:rsidRPr="000E5EB1" w:rsidRDefault="00000000" w:rsidP="000E5EB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color w:val="000000"/>
          <w:sz w:val="20"/>
          <w:szCs w:val="20"/>
        </w:rPr>
        <w:t xml:space="preserve">12.8.8. </w:t>
      </w:r>
      <w:r w:rsidRPr="000E5EB1">
        <w:rPr>
          <w:rFonts w:ascii="Verdana" w:hAnsi="Verdana" w:cs="Verdana"/>
          <w:bCs/>
          <w:color w:val="000000"/>
          <w:sz w:val="20"/>
          <w:szCs w:val="20"/>
        </w:rPr>
        <w:t>Os documentos acima deverão estar acompanhados de todas as alterações ou da consolidação respectiva;</w:t>
      </w:r>
    </w:p>
    <w:p w14:paraId="146A93B8" w14:textId="77777777" w:rsidR="0059002F" w:rsidRPr="000E5EB1" w:rsidRDefault="0059002F" w:rsidP="000E5EB1">
      <w:pPr>
        <w:pStyle w:val="PargrafodaLista"/>
        <w:ind w:left="0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57B1C79E" w14:textId="77777777" w:rsidR="0059002F" w:rsidRPr="000E5EB1" w:rsidRDefault="00000000" w:rsidP="000E5EB1">
      <w:pPr>
        <w:pStyle w:val="PargrafodaLista"/>
        <w:spacing w:before="57" w:after="57"/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b/>
          <w:color w:val="000000"/>
          <w:sz w:val="20"/>
          <w:szCs w:val="20"/>
        </w:rPr>
        <w:tab/>
        <w:t>12.09. Qualificação Econômico-Financeira</w:t>
      </w:r>
      <w:r w:rsidRPr="000E5EB1">
        <w:rPr>
          <w:rFonts w:ascii="Verdana" w:hAnsi="Verdana" w:cs="Verdana"/>
          <w:color w:val="000000"/>
          <w:sz w:val="20"/>
          <w:szCs w:val="20"/>
        </w:rPr>
        <w:t>.</w:t>
      </w:r>
    </w:p>
    <w:p w14:paraId="5A43E711" w14:textId="77777777" w:rsidR="0059002F" w:rsidRPr="000E5EB1" w:rsidRDefault="00000000" w:rsidP="000E5EB1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Verdana"/>
          <w:color w:val="000000"/>
          <w:sz w:val="20"/>
        </w:rPr>
        <w:t>12.9.1. Certidão negativa de falência, recuperação judicial e extrajudicial, expedida pelo cartório distribuidor da sede da Licitante ou por meio digital, emitida em até 30 (trinta) dias anteriores à data de abertura da Dispensa de Licitação;</w:t>
      </w:r>
    </w:p>
    <w:p w14:paraId="7A045BE0" w14:textId="77777777" w:rsidR="0059002F" w:rsidRPr="000E5EB1" w:rsidRDefault="00000000" w:rsidP="000E5EB1">
      <w:pPr>
        <w:tabs>
          <w:tab w:val="left" w:pos="850"/>
        </w:tabs>
        <w:spacing w:before="57" w:after="57"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Verdana"/>
          <w:color w:val="000000"/>
          <w:sz w:val="20"/>
        </w:rPr>
        <w:t>12.9.2. Havendo algum prazo de validade estabelecido por cartório na certidão citada na letra anterior, será considerado o prazo constante da certidão para comprovação da sua validade.</w:t>
      </w:r>
    </w:p>
    <w:p w14:paraId="1445A560" w14:textId="77777777" w:rsidR="0059002F" w:rsidRPr="000E5EB1" w:rsidRDefault="00000000" w:rsidP="000E5EB1">
      <w:pPr>
        <w:tabs>
          <w:tab w:val="left" w:pos="850"/>
        </w:tabs>
        <w:spacing w:before="57" w:after="57" w:line="276" w:lineRule="auto"/>
        <w:ind w:left="-57"/>
        <w:jc w:val="both"/>
        <w:rPr>
          <w:rFonts w:ascii="Verdana" w:hAnsi="Verdana"/>
          <w:sz w:val="20"/>
        </w:rPr>
      </w:pPr>
      <w:r w:rsidRPr="000E5EB1">
        <w:rPr>
          <w:rFonts w:ascii="Verdana" w:hAnsi="Verdana" w:cs="Verdana"/>
          <w:sz w:val="20"/>
        </w:rPr>
        <w:t>12.9.3. Para a contagem do prazo estabelecido na letra “a” deste capítulo, será contado a partir do primeiro dia que antecede a data da realização desta dispensa de licitação.</w:t>
      </w:r>
    </w:p>
    <w:p w14:paraId="4EE6173C" w14:textId="77777777" w:rsidR="0059002F" w:rsidRPr="000E5EB1" w:rsidRDefault="00000000" w:rsidP="000E5EB1">
      <w:pPr>
        <w:tabs>
          <w:tab w:val="left" w:pos="850"/>
        </w:tabs>
        <w:spacing w:before="57" w:after="57" w:line="276" w:lineRule="auto"/>
        <w:ind w:left="-79"/>
        <w:jc w:val="both"/>
        <w:rPr>
          <w:rFonts w:ascii="Verdana" w:hAnsi="Verdana"/>
          <w:sz w:val="20"/>
        </w:rPr>
      </w:pPr>
      <w:r w:rsidRPr="000E5EB1">
        <w:rPr>
          <w:rFonts w:ascii="Verdana" w:hAnsi="Verdana" w:cs="Verdana"/>
          <w:iCs/>
          <w:color w:val="000000"/>
          <w:sz w:val="20"/>
          <w:lang w:eastAsia="en-US"/>
        </w:rPr>
        <w:t>12.9.4. As empresas que estiverem em processo de recuperação judicial ou recuperação extrajudicial deverão apresentar como condicionante de sua habilitação, além da certidão de inexistência de processo de falência, o deferimento do primeiro processo ou a homologação do segundo, e, em ambos os casos, atestado de capacidade de cumprir o objeto licitado fornecido pelo juízo em que tramita a recuperação.</w:t>
      </w:r>
    </w:p>
    <w:p w14:paraId="6C163DF3" w14:textId="77777777" w:rsidR="0059002F" w:rsidRPr="000E5EB1" w:rsidRDefault="0059002F" w:rsidP="000E5EB1">
      <w:pPr>
        <w:tabs>
          <w:tab w:val="left" w:pos="850"/>
        </w:tabs>
        <w:spacing w:line="276" w:lineRule="auto"/>
        <w:ind w:left="-79"/>
        <w:jc w:val="both"/>
        <w:rPr>
          <w:rFonts w:ascii="Verdana" w:hAnsi="Verdana" w:cs="Verdana"/>
          <w:iCs/>
          <w:color w:val="000000"/>
          <w:sz w:val="20"/>
          <w:lang w:eastAsia="en-US"/>
        </w:rPr>
      </w:pPr>
    </w:p>
    <w:p w14:paraId="2C53755C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b/>
          <w:bCs/>
          <w:sz w:val="20"/>
        </w:rPr>
        <w:t>13. CRITÉRIOS DE PAGAMENTO</w:t>
      </w:r>
    </w:p>
    <w:p w14:paraId="18CA1B6C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sz w:val="20"/>
          <w:lang w:eastAsia="en-US"/>
        </w:rPr>
        <w:t>13.1. Recebida a Nota Fiscal ou documento de cobrança equivalente, correrá o prazo de (30) trinta dias úteis para fins de liquidação, na forma desta seção, prorrogáveis por igual período.</w:t>
      </w:r>
    </w:p>
    <w:p w14:paraId="1C8ABF46" w14:textId="77777777" w:rsidR="0059002F" w:rsidRPr="000E5EB1" w:rsidRDefault="00000000" w:rsidP="000E5EB1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sz w:val="20"/>
        </w:rPr>
        <w:t xml:space="preserve">13.2. O prazo de que trata o item anterior será reduzido à metade, mantendo-se a possibilidade de prorrogação, no caso de contratações decorrentes de despesas cujos valores não ultrapassem o limite de que trata o </w:t>
      </w:r>
      <w:hyperlink r:id="rId13" w:anchor="art75" w:history="1">
        <w:r w:rsidRPr="000E5EB1">
          <w:rPr>
            <w:rFonts w:ascii="Verdana" w:hAnsi="Verdana"/>
            <w:color w:val="000000"/>
            <w:sz w:val="20"/>
          </w:rPr>
          <w:t>inciso II do art. 75 da Lei nº 14.133, de 2021</w:t>
        </w:r>
      </w:hyperlink>
      <w:r w:rsidRPr="000E5EB1">
        <w:rPr>
          <w:rFonts w:ascii="Verdana" w:hAnsi="Verdana"/>
          <w:color w:val="000000"/>
          <w:sz w:val="20"/>
        </w:rPr>
        <w:t>.</w:t>
      </w:r>
    </w:p>
    <w:p w14:paraId="11D8AD62" w14:textId="77777777" w:rsidR="0059002F" w:rsidRPr="000E5EB1" w:rsidRDefault="00000000" w:rsidP="000E5EB1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sz w:val="20"/>
        </w:rPr>
        <w:t xml:space="preserve">1233. Para fins de liquidação, o setor competente deverá verificar se a nota fiscal ou instrumento de cobrança equivalente apresentado expressa os elementos necessários e essenciais do documento, tais como: </w:t>
      </w:r>
    </w:p>
    <w:p w14:paraId="408050FC" w14:textId="77777777" w:rsidR="0059002F" w:rsidRPr="000E5EB1" w:rsidRDefault="00000000" w:rsidP="000E5EB1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sz w:val="20"/>
        </w:rPr>
        <w:t>- O prazo de validade;</w:t>
      </w:r>
    </w:p>
    <w:p w14:paraId="15AF98DC" w14:textId="77777777" w:rsidR="0059002F" w:rsidRPr="000E5EB1" w:rsidRDefault="00000000" w:rsidP="000E5EB1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sz w:val="20"/>
        </w:rPr>
        <w:t xml:space="preserve">- A data da emissão; </w:t>
      </w:r>
    </w:p>
    <w:p w14:paraId="0C87E413" w14:textId="77777777" w:rsidR="0059002F" w:rsidRPr="000E5EB1" w:rsidRDefault="00000000" w:rsidP="000E5EB1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sz w:val="20"/>
        </w:rPr>
        <w:t xml:space="preserve">- Os dados do contrato e do órgão contratante; </w:t>
      </w:r>
    </w:p>
    <w:p w14:paraId="54457090" w14:textId="77777777" w:rsidR="0059002F" w:rsidRPr="000E5EB1" w:rsidRDefault="00000000" w:rsidP="000E5EB1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sz w:val="20"/>
        </w:rPr>
        <w:t xml:space="preserve">- O período respectivo de execução do contrato; </w:t>
      </w:r>
    </w:p>
    <w:p w14:paraId="06FC1EFB" w14:textId="77777777" w:rsidR="0059002F" w:rsidRPr="000E5EB1" w:rsidRDefault="00000000" w:rsidP="000E5EB1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sz w:val="20"/>
        </w:rPr>
        <w:lastRenderedPageBreak/>
        <w:t xml:space="preserve">- O valor a pagar; e </w:t>
      </w:r>
    </w:p>
    <w:p w14:paraId="113D2E6C" w14:textId="77777777" w:rsidR="0059002F" w:rsidRPr="000E5EB1" w:rsidRDefault="00000000" w:rsidP="000E5EB1">
      <w:pPr>
        <w:tabs>
          <w:tab w:val="left" w:pos="563"/>
        </w:tabs>
        <w:spacing w:line="276" w:lineRule="auto"/>
        <w:ind w:left="432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sz w:val="20"/>
        </w:rPr>
        <w:t>- Eventual destaque do valor de retenções tributárias cabíveis.</w:t>
      </w:r>
    </w:p>
    <w:p w14:paraId="732A914A" w14:textId="77777777" w:rsidR="0059002F" w:rsidRPr="000E5EB1" w:rsidRDefault="00000000" w:rsidP="000E5EB1">
      <w:pPr>
        <w:tabs>
          <w:tab w:val="left" w:pos="0"/>
          <w:tab w:val="left" w:pos="563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sz w:val="20"/>
        </w:rPr>
        <w:t>13.4.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4314BC98" w14:textId="77777777" w:rsidR="0059002F" w:rsidRPr="000E5EB1" w:rsidRDefault="00000000" w:rsidP="000E5EB1">
      <w:pPr>
        <w:tabs>
          <w:tab w:val="left" w:pos="109"/>
        </w:tabs>
        <w:spacing w:line="276" w:lineRule="auto"/>
        <w:ind w:left="-22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sz w:val="20"/>
        </w:rPr>
        <w:t>13.5. A</w:t>
      </w:r>
      <w:r w:rsidRPr="000E5EB1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0E5EB1">
        <w:rPr>
          <w:rStyle w:val="Hyperlink"/>
          <w:rFonts w:ascii="Verdana" w:hAnsi="Verdana"/>
          <w:sz w:val="20"/>
          <w:lang w:eastAsia="en-US"/>
        </w:rPr>
        <w:t>.</w:t>
      </w:r>
    </w:p>
    <w:p w14:paraId="0D93DEAD" w14:textId="77777777" w:rsidR="0059002F" w:rsidRPr="000E5EB1" w:rsidRDefault="00000000" w:rsidP="000E5EB1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sz w:val="20"/>
        </w:rPr>
        <w:t>13.6. O pagamento será efetuado no prazo de até 30 (trinta) dias úteis contados da finalização da liquidação da despesa.</w:t>
      </w:r>
    </w:p>
    <w:p w14:paraId="7CD242F3" w14:textId="77777777" w:rsidR="0059002F" w:rsidRPr="000E5EB1" w:rsidRDefault="00000000" w:rsidP="000E5EB1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sz w:val="20"/>
        </w:rPr>
        <w:t>13.7. O pagamento será realizado por meio de ordem bancária, para crédito em banco, agência e conta corrente indicados pelo contratado.</w:t>
      </w:r>
    </w:p>
    <w:p w14:paraId="295F55A5" w14:textId="77777777" w:rsidR="0059002F" w:rsidRPr="000E5EB1" w:rsidRDefault="00000000" w:rsidP="000E5EB1">
      <w:pPr>
        <w:spacing w:line="276" w:lineRule="auto"/>
        <w:ind w:left="-22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sz w:val="20"/>
        </w:rPr>
        <w:t>12.8. Será considerada data do pagamento o dia em que constar como emitida a ordem bancária para pagamento.</w:t>
      </w:r>
    </w:p>
    <w:p w14:paraId="49656E09" w14:textId="77777777" w:rsidR="0059002F" w:rsidRPr="000E5EB1" w:rsidRDefault="00000000" w:rsidP="000E5EB1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sz w:val="20"/>
        </w:rPr>
        <w:t>13.9. Quando do pagamento, será efetuada a retenção tributária prevista na legislação aplicável.</w:t>
      </w:r>
    </w:p>
    <w:p w14:paraId="533B39F7" w14:textId="77777777" w:rsidR="0059002F" w:rsidRPr="000E5EB1" w:rsidRDefault="00000000" w:rsidP="000E5EB1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sz w:val="20"/>
          <w:lang w:eastAsia="en-US"/>
        </w:rPr>
        <w:t xml:space="preserve">13.10. O contratado regularmente optante pelo Simples Nacional, nos termos da </w:t>
      </w:r>
      <w:hyperlink r:id="rId14">
        <w:r w:rsidRPr="000E5EB1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0E5EB1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222BABBF" w14:textId="77777777" w:rsidR="0059002F" w:rsidRPr="000E5EB1" w:rsidRDefault="00000000" w:rsidP="000E5EB1">
      <w:pPr>
        <w:spacing w:line="276" w:lineRule="auto"/>
        <w:ind w:left="-79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sz w:val="20"/>
          <w:lang w:eastAsia="en-US"/>
        </w:rPr>
        <w:t>13.11.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00689143" w14:textId="77777777" w:rsidR="0059002F" w:rsidRPr="000E5EB1" w:rsidRDefault="00000000" w:rsidP="000E5EB1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/>
          <w:color w:val="000000"/>
          <w:sz w:val="20"/>
          <w:szCs w:val="20"/>
        </w:rPr>
        <w:t xml:space="preserve">13.11. </w:t>
      </w:r>
      <w:r w:rsidRPr="000E5EB1">
        <w:rPr>
          <w:rFonts w:ascii="Verdana" w:hAnsi="Verdana"/>
          <w:sz w:val="20"/>
          <w:szCs w:val="20"/>
        </w:rPr>
        <w:t xml:space="preserve"> Após o prazo acima referenciado, será paga multa financeira nos seguintes termos:</w:t>
      </w:r>
    </w:p>
    <w:p w14:paraId="469966C5" w14:textId="77777777" w:rsidR="0059002F" w:rsidRPr="000E5EB1" w:rsidRDefault="00000000" w:rsidP="000E5EB1">
      <w:pPr>
        <w:pStyle w:val="PargrafodaLista"/>
        <w:tabs>
          <w:tab w:val="left" w:pos="518"/>
        </w:tabs>
        <w:ind w:left="0"/>
        <w:jc w:val="both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Verdana"/>
          <w:sz w:val="20"/>
          <w:szCs w:val="20"/>
        </w:rPr>
        <w:t xml:space="preserve">VM = VF </w:t>
      </w:r>
      <w:r w:rsidRPr="000E5EB1">
        <w:rPr>
          <w:rFonts w:ascii="Verdana" w:hAnsi="Verdana" w:cs="Verdana"/>
          <w:sz w:val="20"/>
          <w:szCs w:val="20"/>
          <w:vertAlign w:val="subscript"/>
        </w:rPr>
        <w:t>*</w:t>
      </w:r>
      <w:r w:rsidRPr="000E5EB1">
        <w:rPr>
          <w:rFonts w:ascii="Verdana" w:hAnsi="Verdana" w:cs="Verdana"/>
          <w:sz w:val="20"/>
          <w:szCs w:val="20"/>
        </w:rPr>
        <w:t xml:space="preserve"> </w:t>
      </w:r>
      <w:r w:rsidRPr="000E5EB1">
        <w:rPr>
          <w:rFonts w:ascii="Verdana" w:hAnsi="Verdana" w:cs="Verdana"/>
          <w:sz w:val="20"/>
          <w:szCs w:val="20"/>
          <w:u w:val="single"/>
        </w:rPr>
        <w:t>0,33</w:t>
      </w:r>
      <w:r w:rsidRPr="000E5EB1">
        <w:rPr>
          <w:rFonts w:ascii="Verdana" w:hAnsi="Verdana" w:cs="Verdana"/>
          <w:sz w:val="20"/>
          <w:szCs w:val="20"/>
        </w:rPr>
        <w:t xml:space="preserve"> </w:t>
      </w:r>
      <w:r w:rsidRPr="000E5EB1">
        <w:rPr>
          <w:rFonts w:ascii="Verdana" w:hAnsi="Verdana" w:cs="Verdana"/>
          <w:sz w:val="20"/>
          <w:szCs w:val="20"/>
          <w:vertAlign w:val="subscript"/>
        </w:rPr>
        <w:t>*</w:t>
      </w:r>
      <w:r w:rsidRPr="000E5EB1">
        <w:rPr>
          <w:rFonts w:ascii="Verdana" w:hAnsi="Verdana" w:cs="Verdana"/>
          <w:sz w:val="20"/>
          <w:szCs w:val="20"/>
        </w:rPr>
        <w:t xml:space="preserve"> ND</w:t>
      </w:r>
    </w:p>
    <w:p w14:paraId="06086C96" w14:textId="77777777" w:rsidR="0059002F" w:rsidRPr="000E5EB1" w:rsidRDefault="00000000" w:rsidP="000E5EB1">
      <w:pPr>
        <w:pStyle w:val="PargrafodaLista"/>
        <w:tabs>
          <w:tab w:val="left" w:pos="518"/>
        </w:tabs>
        <w:ind w:left="0"/>
        <w:jc w:val="center"/>
        <w:rPr>
          <w:rFonts w:ascii="Verdana" w:hAnsi="Verdana"/>
          <w:sz w:val="20"/>
          <w:szCs w:val="20"/>
        </w:rPr>
      </w:pPr>
      <w:r w:rsidRPr="000E5EB1">
        <w:rPr>
          <w:rFonts w:ascii="Verdana" w:eastAsia="Verdana" w:hAnsi="Verdana" w:cs="Verdana"/>
          <w:sz w:val="20"/>
          <w:szCs w:val="20"/>
        </w:rPr>
        <w:t xml:space="preserve">        </w:t>
      </w:r>
      <w:r w:rsidRPr="000E5EB1">
        <w:rPr>
          <w:rFonts w:ascii="Verdana" w:hAnsi="Verdana" w:cs="Verdana"/>
          <w:sz w:val="20"/>
          <w:szCs w:val="20"/>
        </w:rPr>
        <w:t>100</w:t>
      </w:r>
    </w:p>
    <w:p w14:paraId="0C3A7044" w14:textId="77777777" w:rsidR="0059002F" w:rsidRPr="000E5EB1" w:rsidRDefault="00000000" w:rsidP="000E5EB1">
      <w:pPr>
        <w:suppressAutoHyphens w:val="0"/>
        <w:spacing w:line="276" w:lineRule="auto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 xml:space="preserve">Onde: </w:t>
      </w:r>
    </w:p>
    <w:p w14:paraId="38F195E7" w14:textId="77777777" w:rsidR="0059002F" w:rsidRPr="000E5EB1" w:rsidRDefault="00000000" w:rsidP="000E5EB1">
      <w:pPr>
        <w:suppressAutoHyphens w:val="0"/>
        <w:spacing w:line="276" w:lineRule="auto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 xml:space="preserve">VM = Valor da Multa Financeira; </w:t>
      </w:r>
    </w:p>
    <w:p w14:paraId="27109769" w14:textId="77777777" w:rsidR="0059002F" w:rsidRPr="000E5EB1" w:rsidRDefault="00000000" w:rsidP="000E5EB1">
      <w:pPr>
        <w:suppressAutoHyphens w:val="0"/>
        <w:spacing w:line="276" w:lineRule="auto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 xml:space="preserve">VF = Valor da Nota Fiscal; </w:t>
      </w:r>
    </w:p>
    <w:p w14:paraId="428D5E7A" w14:textId="77777777" w:rsidR="0059002F" w:rsidRPr="000E5EB1" w:rsidRDefault="00000000" w:rsidP="000E5EB1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0E5EB1">
        <w:rPr>
          <w:rFonts w:ascii="Verdana" w:eastAsia="Times New Roman" w:hAnsi="Verdana" w:cs="Arial"/>
          <w:color w:val="000000"/>
          <w:sz w:val="20"/>
          <w:szCs w:val="20"/>
        </w:rPr>
        <w:t>ND = Número de dias em atraso.</w:t>
      </w:r>
    </w:p>
    <w:p w14:paraId="446E452A" w14:textId="77777777" w:rsidR="0059002F" w:rsidRPr="000E5EB1" w:rsidRDefault="00000000" w:rsidP="000E5EB1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0E5EB1">
        <w:rPr>
          <w:rFonts w:ascii="Verdana" w:eastAsia="Times New Roman" w:hAnsi="Verdana" w:cs="Arial"/>
          <w:color w:val="000000"/>
          <w:sz w:val="20"/>
          <w:szCs w:val="20"/>
        </w:rPr>
        <w:t xml:space="preserve">13.12.. </w:t>
      </w:r>
      <w:r w:rsidRPr="000E5EB1">
        <w:rPr>
          <w:rFonts w:ascii="Verdana" w:hAnsi="Verdana" w:cs="Arial"/>
          <w:color w:val="000000"/>
          <w:sz w:val="20"/>
          <w:szCs w:val="20"/>
        </w:rPr>
        <w:t>A NOTA FISCAL ELETRÔNICA deverá conter o mesmo CNPJ e razão social apresentados quando na proposta, assim como, o número da contratação, o (s) objeto (s), os valores unitários e totais.</w:t>
      </w:r>
    </w:p>
    <w:p w14:paraId="556023BD" w14:textId="77777777" w:rsidR="0059002F" w:rsidRPr="000E5EB1" w:rsidRDefault="00000000" w:rsidP="000E5EB1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0E5EB1">
        <w:rPr>
          <w:rFonts w:ascii="Verdana" w:eastAsia="Times New Roman" w:hAnsi="Verdana" w:cs="Arial"/>
          <w:color w:val="000000"/>
          <w:sz w:val="20"/>
          <w:szCs w:val="20"/>
        </w:rPr>
        <w:t>13.13.</w:t>
      </w:r>
      <w:r w:rsidRPr="000E5EB1">
        <w:rPr>
          <w:rFonts w:ascii="Verdana" w:hAnsi="Verdana" w:cs="Arial"/>
          <w:color w:val="000000"/>
          <w:sz w:val="20"/>
          <w:szCs w:val="20"/>
        </w:rPr>
        <w:t xml:space="preserve"> Qualquer alteração feita no contrato social, ato constitutivo ou estatuto deverá ser ois comunicado ao CONTRATANTE, mediante documentação própria, para apreciação da autoridade competente.</w:t>
      </w:r>
    </w:p>
    <w:p w14:paraId="6447EE70" w14:textId="77777777" w:rsidR="0059002F" w:rsidRPr="000E5EB1" w:rsidRDefault="00000000" w:rsidP="000E5EB1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0E5EB1">
        <w:rPr>
          <w:rFonts w:ascii="Verdana" w:eastAsia="Times New Roman" w:hAnsi="Verdana" w:cs="Arial"/>
          <w:color w:val="000000"/>
          <w:sz w:val="20"/>
          <w:szCs w:val="20"/>
        </w:rPr>
        <w:t xml:space="preserve">13.14. </w:t>
      </w:r>
      <w:r w:rsidRPr="000E5EB1">
        <w:rPr>
          <w:rFonts w:ascii="Verdana" w:hAnsi="Verdana" w:cs="Arial"/>
          <w:color w:val="000000"/>
          <w:sz w:val="20"/>
          <w:szCs w:val="20"/>
        </w:rPr>
        <w:t>O CONTRATANTE poderá deduzir do pagamento importâncias que a qualquer título lhe forem devidos pela empresa CONTRATADA, em decorrência de descumprimento de suas obrigações.</w:t>
      </w:r>
    </w:p>
    <w:p w14:paraId="3693244B" w14:textId="77777777" w:rsidR="0059002F" w:rsidRPr="000E5EB1" w:rsidRDefault="00000000" w:rsidP="000E5EB1">
      <w:pPr>
        <w:pStyle w:val="PargrafodaLista"/>
        <w:tabs>
          <w:tab w:val="left" w:pos="518"/>
        </w:tabs>
        <w:ind w:left="0"/>
        <w:rPr>
          <w:rFonts w:ascii="Verdana" w:hAnsi="Verdana"/>
          <w:sz w:val="20"/>
          <w:szCs w:val="20"/>
        </w:rPr>
      </w:pPr>
      <w:r w:rsidRPr="000E5EB1">
        <w:rPr>
          <w:rFonts w:ascii="Verdana" w:hAnsi="Verdana" w:cs="Arial"/>
          <w:sz w:val="20"/>
          <w:szCs w:val="20"/>
        </w:rPr>
        <w:t xml:space="preserve">13.15. </w:t>
      </w:r>
      <w:r w:rsidRPr="000E5EB1">
        <w:rPr>
          <w:rFonts w:ascii="Verdana" w:hAnsi="Verdana" w:cs="Arial"/>
          <w:sz w:val="20"/>
          <w:szCs w:val="20"/>
          <w:lang w:eastAsia="en-US"/>
        </w:rPr>
        <w:t xml:space="preserve">Para a efetivação do pagamento, a CONTRATADA deverá manter as mesmas </w:t>
      </w:r>
      <w:r w:rsidRPr="000E5EB1">
        <w:rPr>
          <w:rFonts w:ascii="Verdana" w:hAnsi="Verdana" w:cs="Arial"/>
          <w:sz w:val="20"/>
          <w:szCs w:val="20"/>
        </w:rPr>
        <w:t>condições relativas à proposta de preço e a habilitação.</w:t>
      </w:r>
    </w:p>
    <w:p w14:paraId="45E41069" w14:textId="77777777" w:rsidR="0059002F" w:rsidRPr="000E5EB1" w:rsidRDefault="0059002F" w:rsidP="000E5EB1">
      <w:pPr>
        <w:pStyle w:val="PargrafodaLista"/>
        <w:tabs>
          <w:tab w:val="left" w:pos="518"/>
        </w:tabs>
        <w:ind w:left="0"/>
        <w:rPr>
          <w:rFonts w:ascii="Verdana" w:hAnsi="Verdana" w:cs="Arial"/>
          <w:sz w:val="20"/>
          <w:szCs w:val="20"/>
        </w:rPr>
      </w:pPr>
    </w:p>
    <w:p w14:paraId="59566AB4" w14:textId="77777777" w:rsidR="0059002F" w:rsidRPr="000E5EB1" w:rsidRDefault="00000000" w:rsidP="000E5EB1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b/>
          <w:sz w:val="20"/>
        </w:rPr>
        <w:t>14. CONTRATAÇÕES CORRELATAS E/OU INTERDEPENDENTES</w:t>
      </w:r>
    </w:p>
    <w:p w14:paraId="63485E12" w14:textId="77777777" w:rsidR="0059002F" w:rsidRPr="000E5EB1" w:rsidRDefault="00000000" w:rsidP="000E5EB1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sz w:val="20"/>
        </w:rPr>
        <w:t>14.1. Não se verifica contratações correlatas ou interdependentes .</w:t>
      </w:r>
    </w:p>
    <w:p w14:paraId="6A4DBAD8" w14:textId="45868528" w:rsidR="0059002F" w:rsidRDefault="0059002F" w:rsidP="000E5EB1">
      <w:pPr>
        <w:suppressAutoHyphens w:val="0"/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54AF2DF1" w14:textId="77777777" w:rsidR="000E5EB1" w:rsidRPr="000E5EB1" w:rsidRDefault="000E5EB1" w:rsidP="000E5EB1">
      <w:pPr>
        <w:suppressAutoHyphens w:val="0"/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4305D64C" w14:textId="77777777" w:rsidR="0059002F" w:rsidRPr="000E5EB1" w:rsidRDefault="00000000" w:rsidP="000E5EB1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b/>
          <w:sz w:val="20"/>
        </w:rPr>
        <w:lastRenderedPageBreak/>
        <w:t>15. POSSÍVEIS IMPACTOS AMBIENTAIS</w:t>
      </w:r>
    </w:p>
    <w:p w14:paraId="51FAF5AE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sz w:val="20"/>
        </w:rPr>
        <w:t xml:space="preserve">15.1. </w:t>
      </w:r>
      <w:r w:rsidRPr="000E5EB1">
        <w:rPr>
          <w:rFonts w:ascii="Verdana" w:hAnsi="Verdana" w:cs="Arial"/>
          <w:color w:val="000000"/>
          <w:sz w:val="20"/>
        </w:rPr>
        <w:t>Não haverá danos/impactos ao meio ambiente uma vez que a aquisição não gerará tal problema</w:t>
      </w:r>
      <w:r w:rsidRPr="000E5EB1">
        <w:rPr>
          <w:rFonts w:ascii="Verdana" w:hAnsi="Verdana" w:cs="Arial"/>
          <w:b/>
          <w:color w:val="000000"/>
          <w:sz w:val="20"/>
        </w:rPr>
        <w:t>.</w:t>
      </w:r>
      <w:r w:rsidRPr="000E5EB1">
        <w:rPr>
          <w:rFonts w:ascii="Verdana" w:hAnsi="Verdana" w:cs="Arial"/>
          <w:color w:val="000000"/>
          <w:sz w:val="20"/>
        </w:rPr>
        <w:t xml:space="preserve"> </w:t>
      </w:r>
    </w:p>
    <w:p w14:paraId="23AFE669" w14:textId="77777777" w:rsidR="0059002F" w:rsidRPr="000E5EB1" w:rsidRDefault="0059002F" w:rsidP="000E5EB1">
      <w:pPr>
        <w:spacing w:line="276" w:lineRule="auto"/>
        <w:jc w:val="both"/>
        <w:rPr>
          <w:rFonts w:ascii="Verdana" w:hAnsi="Verdana" w:cs="Arial"/>
          <w:color w:val="000000"/>
          <w:sz w:val="20"/>
          <w:lang w:eastAsia="zh-CN"/>
        </w:rPr>
      </w:pPr>
    </w:p>
    <w:p w14:paraId="2E270796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b/>
          <w:sz w:val="20"/>
        </w:rPr>
        <w:t>16. DECLARAÇÃO E JUSTIFICATIVA DA VIABILIDADE</w:t>
      </w:r>
    </w:p>
    <w:p w14:paraId="2A5ADD3C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 xml:space="preserve">16.1 O responsável pelo planejamento deste ETP e de acordo com a autoridade deste requerente, declara viável esta contratação/aquisição. </w:t>
      </w:r>
    </w:p>
    <w:p w14:paraId="7AE6152B" w14:textId="77777777" w:rsidR="0059002F" w:rsidRPr="000E5EB1" w:rsidRDefault="0059002F" w:rsidP="000E5EB1">
      <w:pPr>
        <w:spacing w:line="276" w:lineRule="auto"/>
        <w:jc w:val="both"/>
        <w:rPr>
          <w:rFonts w:ascii="Verdana" w:hAnsi="Verdana" w:cs="Arial"/>
          <w:sz w:val="20"/>
        </w:rPr>
      </w:pPr>
    </w:p>
    <w:p w14:paraId="67C712AC" w14:textId="77777777" w:rsidR="0059002F" w:rsidRPr="000E5EB1" w:rsidRDefault="00000000" w:rsidP="000E5EB1">
      <w:pPr>
        <w:suppressAutoHyphens w:val="0"/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b/>
          <w:color w:val="000000"/>
          <w:sz w:val="20"/>
        </w:rPr>
        <w:t>17. RESULTADOS PRETENDIDOS COM A CONTRATAÇÃO</w:t>
      </w:r>
    </w:p>
    <w:p w14:paraId="5B243AA8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>17.1. Com a aquisição pretendida, busca-se promover da melhor forma possível a execução dos eventos esportivos, dentro dos protocolos de premiações, conforme já explicitado no item n. 5, deste ETP, viabilizando momentos lúdicos e de integração social, por meio de socialização, lazer e recreação para crianças/ adolescentes e adultos residentes no Município, atendendo ao que preceitua o ECRIAD, bem como demais políticas de garantia de direitos de crianças/ adolescentes, dentre outras inerentes à qualidade de vida da pessoa. As medalhas e troféus a serem adquiridos viabilizarão a simbologia da vitória nas competições esportivas, de maneira concreta bem como eficiente.</w:t>
      </w:r>
    </w:p>
    <w:p w14:paraId="17EB27A2" w14:textId="77777777" w:rsidR="0059002F" w:rsidRPr="000E5EB1" w:rsidRDefault="0059002F" w:rsidP="000E5EB1">
      <w:pPr>
        <w:spacing w:line="276" w:lineRule="auto"/>
        <w:jc w:val="both"/>
        <w:rPr>
          <w:rFonts w:ascii="Verdana" w:hAnsi="Verdana"/>
          <w:sz w:val="20"/>
        </w:rPr>
      </w:pPr>
    </w:p>
    <w:p w14:paraId="335C3B35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b/>
          <w:color w:val="000000"/>
          <w:sz w:val="20"/>
        </w:rPr>
        <w:t>18. PROVIDÊNCIAS A SEREM ADOTADAS</w:t>
      </w:r>
    </w:p>
    <w:p w14:paraId="3A495107" w14:textId="77777777" w:rsidR="000E5EB1" w:rsidRDefault="000E5EB1" w:rsidP="000E5EB1">
      <w:pPr>
        <w:spacing w:line="276" w:lineRule="auto"/>
        <w:jc w:val="both"/>
        <w:rPr>
          <w:rFonts w:ascii="Verdana" w:hAnsi="Verdana" w:cs="Arial"/>
          <w:b/>
          <w:color w:val="000000"/>
          <w:sz w:val="20"/>
        </w:rPr>
      </w:pPr>
    </w:p>
    <w:p w14:paraId="7458336C" w14:textId="550EF7E8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b/>
          <w:color w:val="000000"/>
          <w:sz w:val="20"/>
        </w:rPr>
        <w:t>18.1  Recursos materiais e humanos</w:t>
      </w:r>
    </w:p>
    <w:p w14:paraId="76B9A7E6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>18.1.1. Além da Equipe de Gestão do Contrato, caso houver, as Secretarias envolvidas disponibilizarão recursos materiais e humanos, para acompanhamento do fornecimento pela contratada.</w:t>
      </w:r>
    </w:p>
    <w:p w14:paraId="4B6B1186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 xml:space="preserve">18.2. As secretarias envolvidas na contratação/aquisição deverão acompanhar, fiscalizar, comprovar e relatar, por escrito, as eventuais irregularidades na execução dos serviços/fornecimento do material, através dos Fiscais de Contrato </w:t>
      </w:r>
      <w:r w:rsidRPr="000E5EB1">
        <w:rPr>
          <w:rFonts w:ascii="Verdana" w:hAnsi="Verdana"/>
          <w:color w:val="000000"/>
          <w:sz w:val="20"/>
        </w:rPr>
        <w:t>(Técnicos e Administrativos)</w:t>
      </w:r>
      <w:r w:rsidRPr="000E5EB1">
        <w:rPr>
          <w:rFonts w:ascii="Verdana" w:hAnsi="Verdana" w:cs="Arial"/>
          <w:color w:val="000000"/>
          <w:sz w:val="20"/>
        </w:rPr>
        <w:t>, caso houver necessidade desta nomeação.</w:t>
      </w:r>
    </w:p>
    <w:p w14:paraId="0E5EEF7E" w14:textId="77777777" w:rsidR="000E5EB1" w:rsidRDefault="00000000" w:rsidP="000E5EB1">
      <w:pPr>
        <w:spacing w:line="276" w:lineRule="auto"/>
        <w:jc w:val="both"/>
        <w:rPr>
          <w:rFonts w:ascii="Verdana" w:hAnsi="Verdana" w:cs="Arial"/>
          <w:b/>
          <w:color w:val="000000"/>
          <w:sz w:val="20"/>
        </w:rPr>
      </w:pPr>
      <w:r w:rsidRPr="000E5EB1">
        <w:rPr>
          <w:rFonts w:ascii="Verdana" w:hAnsi="Verdana" w:cs="Arial"/>
          <w:b/>
          <w:color w:val="000000"/>
          <w:sz w:val="20"/>
        </w:rPr>
        <w:tab/>
      </w:r>
    </w:p>
    <w:p w14:paraId="658C1BF7" w14:textId="7DFDD846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b/>
          <w:color w:val="000000"/>
          <w:sz w:val="20"/>
        </w:rPr>
        <w:t>18.3 Descontinuidades do Fornecimento</w:t>
      </w:r>
    </w:p>
    <w:p w14:paraId="4B19CE36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 xml:space="preserve">18.3.1. No caso de </w:t>
      </w:r>
      <w:r w:rsidRPr="000E5EB1">
        <w:rPr>
          <w:rFonts w:ascii="Verdana" w:hAnsi="Verdana" w:cs="Arial"/>
          <w:color w:val="000000"/>
          <w:sz w:val="20"/>
          <w:lang w:eastAsia="zh-CN"/>
        </w:rPr>
        <w:t>recusa</w:t>
      </w:r>
      <w:r w:rsidRPr="000E5EB1">
        <w:rPr>
          <w:rFonts w:ascii="Verdana" w:hAnsi="Verdana" w:cs="Arial"/>
          <w:color w:val="000000"/>
          <w:sz w:val="20"/>
        </w:rPr>
        <w:t xml:space="preserve"> da entrega do produto pelo fornecedor, a Administração Municipal adotará as providências cabíveis, de acordo com </w:t>
      </w:r>
      <w:r w:rsidRPr="000E5EB1">
        <w:rPr>
          <w:rFonts w:ascii="Verdana" w:hAnsi="Verdana" w:cs="Arial"/>
          <w:color w:val="000000"/>
          <w:sz w:val="20"/>
          <w:lang w:eastAsia="zh-CN"/>
        </w:rPr>
        <w:t>legislação aplicável</w:t>
      </w:r>
      <w:r w:rsidRPr="000E5EB1">
        <w:rPr>
          <w:rFonts w:ascii="Verdana" w:hAnsi="Verdana" w:cs="Arial"/>
          <w:color w:val="000000"/>
          <w:sz w:val="20"/>
        </w:rPr>
        <w:t xml:space="preserve"> visando sanar problemas por ventura ocorridos.</w:t>
      </w:r>
    </w:p>
    <w:p w14:paraId="45D28E6A" w14:textId="77777777" w:rsidR="0059002F" w:rsidRPr="000E5EB1" w:rsidRDefault="0059002F" w:rsidP="000E5EB1">
      <w:pPr>
        <w:spacing w:line="276" w:lineRule="auto"/>
        <w:jc w:val="both"/>
        <w:rPr>
          <w:rFonts w:ascii="Verdana" w:hAnsi="Verdana"/>
          <w:sz w:val="20"/>
        </w:rPr>
      </w:pPr>
    </w:p>
    <w:p w14:paraId="39AE557F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b/>
          <w:bCs/>
          <w:sz w:val="20"/>
        </w:rPr>
        <w:t xml:space="preserve">19. ADEQUAÇÃO ORÇAMENTÁRIA </w:t>
      </w:r>
    </w:p>
    <w:p w14:paraId="7012AC92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sz w:val="20"/>
        </w:rPr>
        <w:t>19.1 As despesas decorrentes da presente contratação correrão à conta de recursos específicos consignados no Lei Orçamentária Anual, bem como requisição do sistema presente nos autos, sendo a contratação será atendida pela seguinte dotação:</w:t>
      </w:r>
    </w:p>
    <w:p w14:paraId="1773492A" w14:textId="77777777" w:rsidR="0059002F" w:rsidRPr="000E5EB1" w:rsidRDefault="0059002F" w:rsidP="000E5EB1">
      <w:pPr>
        <w:spacing w:line="276" w:lineRule="auto"/>
        <w:jc w:val="both"/>
        <w:rPr>
          <w:rFonts w:ascii="Verdana" w:hAnsi="Verdana"/>
          <w:sz w:val="20"/>
        </w:rPr>
      </w:pPr>
    </w:p>
    <w:p w14:paraId="3CCA87EE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color w:val="000000"/>
          <w:sz w:val="20"/>
        </w:rPr>
        <w:t>FICHA - FONTE 00335-15000000000 no valor de R$  3.500,00 (três mil e quinhentos reais)</w:t>
      </w:r>
    </w:p>
    <w:p w14:paraId="40CD8DBA" w14:textId="77777777" w:rsidR="0059002F" w:rsidRPr="000E5EB1" w:rsidRDefault="0059002F" w:rsidP="000E5EB1">
      <w:pPr>
        <w:spacing w:line="276" w:lineRule="auto"/>
        <w:jc w:val="both"/>
        <w:rPr>
          <w:rFonts w:ascii="Verdana" w:hAnsi="Verdana"/>
          <w:sz w:val="20"/>
        </w:rPr>
      </w:pPr>
    </w:p>
    <w:p w14:paraId="28C2F15D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/>
          <w:b/>
          <w:bCs/>
          <w:sz w:val="20"/>
        </w:rPr>
        <w:t>20.</w:t>
      </w:r>
      <w:r w:rsidRPr="000E5EB1">
        <w:rPr>
          <w:rFonts w:ascii="Verdana" w:hAnsi="Verdana"/>
          <w:sz w:val="20"/>
        </w:rPr>
        <w:t xml:space="preserve"> </w:t>
      </w:r>
      <w:r w:rsidRPr="000E5EB1">
        <w:rPr>
          <w:rFonts w:ascii="Verdana" w:hAnsi="Verdana" w:cs="Arial"/>
          <w:b/>
          <w:bCs/>
          <w:color w:val="000000"/>
          <w:sz w:val="20"/>
        </w:rPr>
        <w:t>DOS RESPONSÁVEIS PELA ELABORAÇÃO DO TERMO DE REFERÊNCIA</w:t>
      </w:r>
    </w:p>
    <w:p w14:paraId="59B239A0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color w:val="000000"/>
          <w:sz w:val="20"/>
        </w:rPr>
        <w:t>20.1. A compilação de parte das informações mencionados na elaboração deste Termo de Referência foram estruturadas através do DFD- Documento Formalizador de Demanda e ETP – Estudo Técnico Preliminar elaborado pela secretaria requisitante.</w:t>
      </w:r>
    </w:p>
    <w:p w14:paraId="25599BD9" w14:textId="77777777" w:rsidR="0059002F" w:rsidRPr="000E5EB1" w:rsidRDefault="0059002F" w:rsidP="000E5EB1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79BC9CCF" w14:textId="77777777" w:rsidR="0059002F" w:rsidRPr="000E5EB1" w:rsidRDefault="0059002F" w:rsidP="000E5EB1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53D8AE41" w14:textId="77777777" w:rsidR="0059002F" w:rsidRPr="000E5EB1" w:rsidRDefault="0059002F" w:rsidP="000E5EB1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3AA1D399" w14:textId="77777777" w:rsidR="0059002F" w:rsidRPr="000E5EB1" w:rsidRDefault="0059002F" w:rsidP="000E5EB1">
      <w:pPr>
        <w:spacing w:line="276" w:lineRule="auto"/>
        <w:jc w:val="both"/>
        <w:rPr>
          <w:rFonts w:ascii="Verdana" w:hAnsi="Verdana"/>
          <w:sz w:val="20"/>
        </w:rPr>
      </w:pPr>
    </w:p>
    <w:p w14:paraId="6D3F6235" w14:textId="77777777" w:rsidR="0059002F" w:rsidRPr="000E5EB1" w:rsidRDefault="00000000" w:rsidP="000E5EB1">
      <w:pPr>
        <w:spacing w:line="276" w:lineRule="auto"/>
        <w:jc w:val="right"/>
        <w:rPr>
          <w:rFonts w:ascii="Verdana" w:hAnsi="Verdana"/>
          <w:sz w:val="20"/>
        </w:rPr>
      </w:pPr>
      <w:r w:rsidRPr="000E5EB1">
        <w:rPr>
          <w:rFonts w:ascii="Verdana" w:hAnsi="Verdana"/>
          <w:sz w:val="20"/>
        </w:rPr>
        <w:t>São Gabriel da Palha, 13</w:t>
      </w:r>
      <w:r w:rsidRPr="000E5EB1">
        <w:rPr>
          <w:rFonts w:ascii="Verdana" w:hAnsi="Verdana"/>
          <w:color w:val="000000"/>
          <w:sz w:val="20"/>
        </w:rPr>
        <w:t xml:space="preserve"> de março de 2026</w:t>
      </w:r>
    </w:p>
    <w:p w14:paraId="33A76BFD" w14:textId="77777777" w:rsidR="0059002F" w:rsidRPr="000E5EB1" w:rsidRDefault="0059002F" w:rsidP="000E5EB1">
      <w:pPr>
        <w:spacing w:line="276" w:lineRule="auto"/>
        <w:jc w:val="both"/>
        <w:rPr>
          <w:rFonts w:ascii="Verdana" w:hAnsi="Verdana"/>
          <w:sz w:val="20"/>
        </w:rPr>
      </w:pPr>
    </w:p>
    <w:p w14:paraId="38E68F91" w14:textId="77777777" w:rsidR="0059002F" w:rsidRPr="000E5EB1" w:rsidRDefault="0059002F" w:rsidP="000E5EB1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001E9289" w14:textId="77777777" w:rsidR="0059002F" w:rsidRPr="000E5EB1" w:rsidRDefault="0059002F" w:rsidP="000E5EB1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FE8319E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b/>
          <w:bCs/>
          <w:sz w:val="20"/>
        </w:rPr>
        <w:t>Elaborado por:</w:t>
      </w:r>
    </w:p>
    <w:p w14:paraId="79C43571" w14:textId="77777777" w:rsidR="0059002F" w:rsidRPr="000E5EB1" w:rsidRDefault="0059002F" w:rsidP="000E5EB1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77431D5E" w14:textId="77777777" w:rsidR="0059002F" w:rsidRPr="000E5EB1" w:rsidRDefault="0059002F" w:rsidP="000E5EB1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64CA9FF3" w14:textId="77777777" w:rsidR="0059002F" w:rsidRPr="000E5EB1" w:rsidRDefault="0059002F" w:rsidP="000E5EB1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4C671068" w14:textId="77777777" w:rsidR="0059002F" w:rsidRPr="000E5EB1" w:rsidRDefault="0059002F" w:rsidP="000E5EB1">
      <w:pPr>
        <w:spacing w:line="276" w:lineRule="auto"/>
        <w:jc w:val="both"/>
        <w:rPr>
          <w:rFonts w:ascii="Verdana" w:hAnsi="Verdana" w:cs="Arial"/>
          <w:b/>
          <w:bCs/>
          <w:sz w:val="20"/>
        </w:rPr>
      </w:pPr>
    </w:p>
    <w:p w14:paraId="28ED4B89" w14:textId="77777777" w:rsidR="0059002F" w:rsidRPr="000E5EB1" w:rsidRDefault="00000000" w:rsidP="000E5EB1">
      <w:pPr>
        <w:spacing w:line="276" w:lineRule="auto"/>
        <w:rPr>
          <w:rFonts w:ascii="Verdana" w:hAnsi="Verdana"/>
          <w:sz w:val="20"/>
        </w:rPr>
      </w:pPr>
      <w:r w:rsidRPr="000E5EB1">
        <w:rPr>
          <w:rFonts w:ascii="Verdana" w:hAnsi="Verdana"/>
          <w:sz w:val="20"/>
        </w:rPr>
        <w:t>RODOLFO ANTÔNIO DA SILVA NETO</w:t>
      </w:r>
    </w:p>
    <w:p w14:paraId="327793DF" w14:textId="77777777" w:rsidR="0059002F" w:rsidRPr="000E5EB1" w:rsidRDefault="00000000" w:rsidP="000E5EB1">
      <w:pPr>
        <w:spacing w:line="276" w:lineRule="auto"/>
        <w:rPr>
          <w:rFonts w:ascii="Verdana" w:hAnsi="Verdana"/>
          <w:sz w:val="20"/>
        </w:rPr>
      </w:pPr>
      <w:r w:rsidRPr="000E5EB1">
        <w:rPr>
          <w:rFonts w:ascii="Verdana" w:hAnsi="Verdana"/>
          <w:sz w:val="20"/>
        </w:rPr>
        <w:t>Agente de Serviços Técnicos – Portaria n° 9.965/2025</w:t>
      </w:r>
    </w:p>
    <w:p w14:paraId="3070A855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sz w:val="20"/>
        </w:rPr>
        <w:t>Mat. nº 000406</w:t>
      </w:r>
    </w:p>
    <w:p w14:paraId="6CF681F1" w14:textId="77777777" w:rsidR="0059002F" w:rsidRPr="000E5EB1" w:rsidRDefault="0059002F" w:rsidP="000E5EB1">
      <w:pPr>
        <w:spacing w:line="276" w:lineRule="auto"/>
        <w:jc w:val="both"/>
        <w:rPr>
          <w:rFonts w:ascii="Verdana" w:hAnsi="Verdana"/>
          <w:sz w:val="20"/>
        </w:rPr>
      </w:pPr>
    </w:p>
    <w:p w14:paraId="47E3FC2D" w14:textId="77777777" w:rsidR="0059002F" w:rsidRPr="000E5EB1" w:rsidRDefault="0059002F" w:rsidP="000E5EB1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104E2D7B" w14:textId="77777777" w:rsidR="0059002F" w:rsidRPr="000E5EB1" w:rsidRDefault="0059002F" w:rsidP="000E5EB1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22338713" w14:textId="77777777" w:rsidR="0059002F" w:rsidRPr="000E5EB1" w:rsidRDefault="0059002F" w:rsidP="000E5EB1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2DD1B101" w14:textId="77777777" w:rsidR="0059002F" w:rsidRPr="000E5EB1" w:rsidRDefault="0059002F" w:rsidP="000E5EB1">
      <w:pPr>
        <w:spacing w:line="276" w:lineRule="auto"/>
        <w:jc w:val="both"/>
        <w:rPr>
          <w:rFonts w:ascii="Verdana" w:hAnsi="Verdana" w:cs="Arial"/>
          <w:color w:val="000000"/>
          <w:sz w:val="20"/>
        </w:rPr>
      </w:pPr>
    </w:p>
    <w:p w14:paraId="608049AE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sz w:val="20"/>
        </w:rPr>
        <w:t>RUTH BARBARA DA SILWA NASCIMENTO</w:t>
      </w:r>
    </w:p>
    <w:p w14:paraId="34977BA4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r w:rsidRPr="000E5EB1">
        <w:rPr>
          <w:rFonts w:ascii="Verdana" w:hAnsi="Verdana" w:cs="Arial"/>
          <w:sz w:val="20"/>
        </w:rPr>
        <w:t>Agente de Serviços Técnicos - Decreto n° 4.816/2025.</w:t>
      </w:r>
    </w:p>
    <w:p w14:paraId="326F1DD8" w14:textId="77777777" w:rsidR="0059002F" w:rsidRPr="000E5EB1" w:rsidRDefault="00000000" w:rsidP="000E5EB1">
      <w:pPr>
        <w:spacing w:line="276" w:lineRule="auto"/>
        <w:jc w:val="both"/>
        <w:rPr>
          <w:rFonts w:ascii="Verdana" w:hAnsi="Verdana"/>
          <w:sz w:val="20"/>
        </w:rPr>
      </w:pPr>
      <w:hyperlink r:id="rId15">
        <w:r w:rsidRPr="000E5EB1">
          <w:rPr>
            <w:rFonts w:ascii="Verdana" w:hAnsi="Verdana" w:cs="Arial"/>
            <w:color w:val="000000"/>
            <w:sz w:val="20"/>
          </w:rPr>
          <w:t>Mat. nº 002983</w:t>
        </w:r>
      </w:hyperlink>
    </w:p>
    <w:sectPr w:rsidR="0059002F" w:rsidRPr="000E5EB1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A834E" w14:textId="77777777" w:rsidR="00A309BF" w:rsidRDefault="00A309BF">
      <w:r>
        <w:separator/>
      </w:r>
    </w:p>
  </w:endnote>
  <w:endnote w:type="continuationSeparator" w:id="0">
    <w:p w14:paraId="054EDCFD" w14:textId="77777777" w:rsidR="00A309BF" w:rsidRDefault="00A309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1"/>
    <w:family w:val="auto"/>
    <w:pitch w:val="variable"/>
    <w:sig w:usb0="800000AF" w:usb1="1001ECEA" w:usb2="00000000" w:usb3="00000000" w:csb0="8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Ecofont_Spranq_eco_Sans">
    <w:altName w:val="Cambria"/>
    <w:charset w:val="00"/>
    <w:family w:val="roman"/>
    <w:pitch w:val="variable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0AD8C" w14:textId="77777777" w:rsidR="0059002F" w:rsidRDefault="0059002F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AC3F74" w14:textId="77777777" w:rsidR="0059002F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370B1FF4" w14:textId="77777777" w:rsidR="0059002F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4F525" w14:textId="77777777" w:rsidR="0059002F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552D7378" w14:textId="77777777" w:rsidR="0059002F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581A42" w14:textId="77777777" w:rsidR="00A309BF" w:rsidRDefault="00A309BF">
      <w:r>
        <w:separator/>
      </w:r>
    </w:p>
  </w:footnote>
  <w:footnote w:type="continuationSeparator" w:id="0">
    <w:p w14:paraId="22B3FD78" w14:textId="77777777" w:rsidR="00A309BF" w:rsidRDefault="00A309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38508" w14:textId="77777777" w:rsidR="0059002F" w:rsidRDefault="0059002F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72439" w14:textId="77777777" w:rsidR="0059002F" w:rsidRDefault="0059002F">
    <w:pPr>
      <w:rPr>
        <w:rFonts w:ascii="Verdana" w:hAnsi="Verdana"/>
        <w:sz w:val="26"/>
        <w:szCs w:val="26"/>
      </w:rPr>
    </w:pPr>
  </w:p>
  <w:p w14:paraId="1B55527C" w14:textId="77777777" w:rsidR="0059002F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69C79EB1" wp14:editId="2A1FD86D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334A263B" w14:textId="77777777" w:rsidR="0059002F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3EA96E57" w14:textId="77777777" w:rsidR="0059002F" w:rsidRDefault="0059002F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478F86" w14:textId="77777777" w:rsidR="0059002F" w:rsidRDefault="0059002F">
    <w:pPr>
      <w:rPr>
        <w:rFonts w:ascii="Verdana" w:hAnsi="Verdana"/>
        <w:sz w:val="26"/>
        <w:szCs w:val="26"/>
      </w:rPr>
    </w:pPr>
  </w:p>
  <w:p w14:paraId="115A0124" w14:textId="77777777" w:rsidR="0059002F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22BE8532" wp14:editId="0208A077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4EA866A" w14:textId="77777777" w:rsidR="0059002F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74335D28" w14:textId="77777777" w:rsidR="0059002F" w:rsidRDefault="0059002F">
    <w:pPr>
      <w:jc w:val="center"/>
      <w:rPr>
        <w:rFonts w:ascii="Arial Narrow" w:hAnsi="Arial Narrow"/>
        <w:b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002F"/>
    <w:rsid w:val="000E5EB1"/>
    <w:rsid w:val="0059002F"/>
    <w:rsid w:val="00A309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CAD420"/>
  <w15:docId w15:val="{A53471FF-DB6B-4856-BFFA-007CA30C1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user">
    <w:name w:val="Marcadores (user)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Fontepargpadro1">
    <w:name w:val="Fonte parág. padrão1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user">
    <w:name w:val="Título (user)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user">
    <w:name w:val="Índice (user)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overflowPunct w:val="0"/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pPr>
      <w:overflowPunct w:val="0"/>
    </w:pPr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overflowPunct w:val="0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user">
    <w:name w:val="Conteúdo da tabela (user)"/>
    <w:basedOn w:val="Normal"/>
    <w:qFormat/>
  </w:style>
  <w:style w:type="paragraph" w:customStyle="1" w:styleId="Default">
    <w:name w:val="Default"/>
    <w:qFormat/>
    <w:pPr>
      <w:overflowPunct w:val="0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user">
    <w:name w:val="Título de tabela (user)"/>
    <w:basedOn w:val="Contedodatabelauser"/>
    <w:qFormat/>
    <w:pPr>
      <w:suppressLineNumbers/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ortaldatransparencia.gov.br/ceis" TargetMode="External"/><Relationship Id="rId13" Type="http://schemas.openxmlformats.org/officeDocument/2006/relationships/hyperlink" Target="http://www.planalto.gov.br/ccivil_03/_ato2019-2022/2021/lei/L14133.htm" TargetMode="External"/><Relationship Id="rId18" Type="http://schemas.openxmlformats.org/officeDocument/2006/relationships/footer" Target="footer1.xml"/><Relationship Id="rId3" Type="http://schemas.openxmlformats.org/officeDocument/2006/relationships/webSettings" Target="webSettings.xml"/><Relationship Id="rId21" Type="http://schemas.openxmlformats.org/officeDocument/2006/relationships/footer" Target="footer3.xml"/><Relationship Id="rId7" Type="http://schemas.openxmlformats.org/officeDocument/2006/relationships/hyperlink" Target="http://www.tst.jus.br/" TargetMode="External"/><Relationship Id="rId12" Type="http://schemas.openxmlformats.org/officeDocument/2006/relationships/hyperlink" Target="http://www.portaldoempreendedor.gov.br/" TargetMode="External"/><Relationship Id="rId17" Type="http://schemas.openxmlformats.org/officeDocument/2006/relationships/header" Target="header2.xml"/><Relationship Id="rId2" Type="http://schemas.openxmlformats.org/officeDocument/2006/relationships/settings" Target="setting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styles" Target="styles.xml"/><Relationship Id="rId6" Type="http://schemas.openxmlformats.org/officeDocument/2006/relationships/hyperlink" Target="https://internet.sefaz.es.gov.br/" TargetMode="External"/><Relationship Id="rId11" Type="http://schemas.openxmlformats.org/officeDocument/2006/relationships/hyperlink" Target="https://certidoesapf.apps.tcu.gov.br/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www.planalto.gov.br/ccivil_03/leis/lcp/lcp123.htm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tcees.tc.br/portal-da-transparencia/consultas/lista-de" TargetMode="External"/><Relationship Id="rId19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yperlink" Target="http://www.cnj.jus.br/improbidade_adm/consultar_requerido.php" TargetMode="External"/><Relationship Id="rId14" Type="http://schemas.openxmlformats.org/officeDocument/2006/relationships/hyperlink" Target="https://www.planalto.gov.br/ccivil_03/leis/lcp/lcp123.htm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821</TotalTime>
  <Pages>10</Pages>
  <Words>4372</Words>
  <Characters>23611</Characters>
  <Application>Microsoft Office Word</Application>
  <DocSecurity>0</DocSecurity>
  <Lines>196</Lines>
  <Paragraphs>55</Paragraphs>
  <ScaleCrop>false</ScaleCrop>
  <Company/>
  <LinksUpToDate>false</LinksUpToDate>
  <CharactersWithSpaces>27928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143</cp:revision>
  <cp:lastPrinted>2024-11-06T17:12:00Z</cp:lastPrinted>
  <dcterms:created xsi:type="dcterms:W3CDTF">2026-04-20T18:38:00Z</dcterms:created>
  <dcterms:modified xsi:type="dcterms:W3CDTF">2026-04-20T18:40:00Z</dcterms:modified>
  <dc:language>pt-BR</dc:language>
</cp:coreProperties>
</file>